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2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2" w:lineRule="exact"/>
        <w:ind w:left="0" w:right="0"/>
        <w:jc w:val="both"/>
        <w:rPr>
          <w:rFonts w:hint="default" w:ascii="Times New Roman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广东省水利厅2024年度第二批水利安全生产标准化评审新申请达标单位名单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exact"/>
        <w:ind w:left="0" w:right="0"/>
        <w:jc w:val="both"/>
        <w:rPr>
          <w:rFonts w:hint="default" w:ascii="Times New Roman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50"/>
        <w:gridCol w:w="2625"/>
        <w:gridCol w:w="835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157" w:afterLines="50" w:afterAutospacing="0" w:line="40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157" w:afterLines="50" w:afterAutospacing="0" w:line="40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157" w:afterLines="50" w:afterAutospacing="0" w:line="40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申请类别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157" w:afterLines="50" w:afterAutospacing="0" w:line="40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珠海格力建设投资有限责任公司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水利工程项目法人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广东省水文局湛江水文分局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广东省水文局汕头水文分局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广东省水文局惠州水文分局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广东省水文局江门水文分局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广东省水文局肇庆水文分局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广东省水文局梅州水文分局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广东省水文局清远水文分局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广东省水文局茂名水文分局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水文监测单位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深圳市大鹏新区水务管理中心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广州市河涌监测中心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广州市东江北干流流域事务中心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广州市白云区流溪河灌溉工程管理所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揭阳市引水工程有限公司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桂南水库管理所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中建五局水利能源建设有限公司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广东金松建设集团股份有限公司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深圳市广汇源环境水务有限公司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水利水电勘测设计单位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广东顺水工程建设监理有限公司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水利工程建设监理单位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深圳市宝安排水有限公司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水利后勤保障单位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广东西江建设发展有限公司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江门市蓬江区河湖（库）管理中心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广东粤海韶投水务有限责任公司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三级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广东省水利厅2024年度第二批水利安全生产标准化评审延期申请达标单位名单</w:t>
      </w:r>
    </w:p>
    <w:tbl>
      <w:tblPr>
        <w:tblStyle w:val="4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4324"/>
        <w:gridCol w:w="2946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157" w:beforeLines="50" w:beforeAutospacing="0" w:after="157" w:afterLines="5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157" w:beforeLines="50" w:beforeAutospacing="0" w:after="157" w:afterLines="5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157" w:beforeLines="50" w:beforeAutospacing="0" w:after="157" w:afterLines="5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申请类别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157" w:beforeLines="50" w:beforeAutospacing="0" w:after="157" w:afterLines="5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157" w:beforeLines="50" w:beforeAutospacing="0" w:after="157" w:afterLines="5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深圳市深圳河湾流域管理中心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深圳市观澜河流域管理中心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深圳市北部水源工程管理处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水利工程管理单位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广东东禹建设发展有限公司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广东南方建设集团有限公司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广东晖业建设有限公司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广东百盛建设工程有限公司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水发规划建设有限公司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广东均兴建设工程有限公司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中建河图建设有限公司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深圳市水务技术服务有限公司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江门市新会区水利电力建设工程有限公司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恒鑫建设工程有限公司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韶关市华源水电建设有限公司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盛业建设有限公司</w:t>
            </w:r>
          </w:p>
        </w:tc>
        <w:tc>
          <w:tcPr>
            <w:tcW w:w="2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水利水电施工企业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7" w:beforeLines="50" w:beforeAutospacing="0" w:after="157" w:afterLines="5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1244"/>
    <w:rsid w:val="57E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2024-12-02T06:42:00Z</dcterms:created>
  <dc:creator>廖敏慧</dc:creator>
  <cp:lastModifiedBy>廖敏慧</cp:lastModifiedBy>
  <dcterms:modified xsi:type="dcterms:W3CDTF">2024-12-02T06:44:40Z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