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ind w:left="0" w:leftChars="0" w:firstLine="0" w:firstLineChars="0"/>
        <w:jc w:val="left"/>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微软简标宋" w:hAnsi="宋体" w:eastAsia="微软简标宋"/>
          <w:sz w:val="48"/>
          <w:szCs w:val="48"/>
        </w:rPr>
      </w:pPr>
    </w:p>
    <w:p>
      <w:pPr>
        <w:jc w:val="center"/>
        <w:rPr>
          <w:rFonts w:hint="eastAsia" w:ascii="微软简标宋" w:hAnsi="宋体" w:eastAsia="微软简标宋"/>
          <w:sz w:val="48"/>
          <w:szCs w:val="48"/>
        </w:rPr>
      </w:pPr>
    </w:p>
    <w:p>
      <w:pPr>
        <w:jc w:val="center"/>
        <w:rPr>
          <w:rFonts w:hint="eastAsia" w:ascii="微软简标宋" w:hAnsi="宋体" w:eastAsia="微软简标宋"/>
          <w:sz w:val="48"/>
          <w:szCs w:val="48"/>
        </w:rPr>
      </w:pPr>
    </w:p>
    <w:p>
      <w:pPr>
        <w:spacing w:line="360" w:lineRule="auto"/>
        <w:ind w:left="0" w:leftChars="0" w:firstLine="0" w:firstLineChars="0"/>
        <w:jc w:val="center"/>
        <w:rPr>
          <w:rFonts w:hint="eastAsia" w:ascii="微软简标宋" w:hAnsi="微软简标宋" w:eastAsia="微软简标宋" w:cs="微软简标宋"/>
          <w:sz w:val="48"/>
          <w:szCs w:val="48"/>
        </w:rPr>
      </w:pPr>
      <w:r>
        <w:rPr>
          <w:rFonts w:hint="eastAsia" w:ascii="微软简标宋" w:hAnsi="微软简标宋" w:eastAsia="微软简标宋" w:cs="微软简标宋"/>
          <w:sz w:val="48"/>
          <w:szCs w:val="48"/>
        </w:rPr>
        <w:t>202</w:t>
      </w:r>
      <w:r>
        <w:rPr>
          <w:rFonts w:hint="eastAsia" w:ascii="微软简标宋" w:hAnsi="微软简标宋" w:eastAsia="微软简标宋" w:cs="微软简标宋"/>
          <w:sz w:val="48"/>
          <w:szCs w:val="48"/>
          <w:lang w:val="en-US" w:eastAsia="zh-CN"/>
        </w:rPr>
        <w:t>4</w:t>
      </w:r>
      <w:r>
        <w:rPr>
          <w:rFonts w:hint="eastAsia" w:ascii="微软简标宋" w:hAnsi="微软简标宋" w:eastAsia="微软简标宋" w:cs="微软简标宋"/>
          <w:sz w:val="48"/>
          <w:szCs w:val="48"/>
        </w:rPr>
        <w:t>-202</w:t>
      </w:r>
      <w:r>
        <w:rPr>
          <w:rFonts w:hint="eastAsia" w:ascii="微软简标宋" w:hAnsi="微软简标宋" w:eastAsia="微软简标宋" w:cs="微软简标宋"/>
          <w:sz w:val="48"/>
          <w:szCs w:val="48"/>
          <w:lang w:val="en-US" w:eastAsia="zh-CN"/>
        </w:rPr>
        <w:t>5</w:t>
      </w:r>
      <w:r>
        <w:rPr>
          <w:rFonts w:hint="eastAsia" w:ascii="微软简标宋" w:hAnsi="微软简标宋" w:eastAsia="微软简标宋" w:cs="微软简标宋"/>
          <w:sz w:val="48"/>
          <w:szCs w:val="48"/>
        </w:rPr>
        <w:t>年度广东省东江水资源水量水质监控系统控制断面站点</w:t>
      </w:r>
      <w:r>
        <w:rPr>
          <w:rFonts w:hint="eastAsia" w:ascii="微软简标宋" w:hAnsi="微软简标宋" w:eastAsia="微软简标宋" w:cs="微软简标宋"/>
          <w:sz w:val="48"/>
          <w:szCs w:val="48"/>
          <w:lang w:eastAsia="zh-CN"/>
        </w:rPr>
        <w:t>运行</w:t>
      </w:r>
      <w:r>
        <w:rPr>
          <w:rFonts w:hint="eastAsia" w:ascii="微软简标宋" w:hAnsi="微软简标宋" w:eastAsia="微软简标宋" w:cs="微软简标宋"/>
          <w:sz w:val="48"/>
          <w:szCs w:val="48"/>
        </w:rPr>
        <w:t>维护</w:t>
      </w:r>
    </w:p>
    <w:p>
      <w:pPr>
        <w:spacing w:line="360" w:lineRule="auto"/>
        <w:ind w:left="0" w:leftChars="0" w:firstLine="0" w:firstLineChars="0"/>
        <w:jc w:val="center"/>
        <w:rPr>
          <w:rFonts w:hint="eastAsia" w:ascii="微软简标宋" w:hAnsi="微软简标宋" w:eastAsia="微软简标宋" w:cs="微软简标宋"/>
          <w:sz w:val="48"/>
          <w:szCs w:val="48"/>
        </w:rPr>
      </w:pPr>
      <w:r>
        <w:rPr>
          <w:rFonts w:hint="eastAsia" w:ascii="微软简标宋" w:hAnsi="微软简标宋" w:eastAsia="微软简标宋" w:cs="微软简标宋"/>
          <w:sz w:val="48"/>
          <w:szCs w:val="48"/>
          <w:lang w:eastAsia="zh-CN"/>
        </w:rPr>
        <w:t>项目</w:t>
      </w:r>
      <w:r>
        <w:rPr>
          <w:rFonts w:hint="eastAsia" w:ascii="微软简标宋" w:hAnsi="微软简标宋" w:eastAsia="微软简标宋" w:cs="微软简标宋"/>
          <w:sz w:val="48"/>
          <w:szCs w:val="48"/>
        </w:rPr>
        <w:t>需求书</w:t>
      </w:r>
      <w:bookmarkStart w:id="0" w:name="_GoBack"/>
      <w:bookmarkEnd w:id="0"/>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
      <w:pPr>
        <w:rPr>
          <w:rFonts w:ascii="宋体" w:hAnsi="宋体"/>
          <w:sz w:val="28"/>
          <w:szCs w:val="28"/>
        </w:rPr>
      </w:pPr>
    </w:p>
    <w:p>
      <w:pPr>
        <w:ind w:left="0" w:leftChars="0" w:firstLine="0" w:firstLineChars="0"/>
        <w:jc w:val="center"/>
        <w:rPr>
          <w:rFonts w:ascii="微软简标宋" w:hAnsi="宋体" w:eastAsia="微软简标宋"/>
          <w:sz w:val="36"/>
          <w:szCs w:val="36"/>
        </w:rPr>
      </w:pPr>
      <w:r>
        <w:rPr>
          <w:rFonts w:hint="eastAsia" w:ascii="微软简标宋" w:hAnsi="宋体" w:eastAsia="微软简标宋"/>
          <w:sz w:val="36"/>
          <w:szCs w:val="36"/>
        </w:rPr>
        <w:t>二</w:t>
      </w:r>
      <w:r>
        <w:rPr>
          <w:rFonts w:hint="eastAsia" w:ascii="宋体" w:hAnsi="宋体" w:cs="宋体"/>
          <w:sz w:val="36"/>
          <w:szCs w:val="36"/>
        </w:rPr>
        <w:t>〇</w:t>
      </w:r>
      <w:r>
        <w:rPr>
          <w:rFonts w:hint="eastAsia" w:ascii="微软简标宋" w:hAnsi="宋体" w:eastAsia="微软简标宋"/>
          <w:sz w:val="36"/>
          <w:szCs w:val="36"/>
        </w:rPr>
        <w:t>二</w:t>
      </w:r>
      <w:r>
        <w:rPr>
          <w:rFonts w:hint="eastAsia" w:ascii="微软简标宋" w:hAnsi="微软简标宋" w:eastAsia="微软简标宋" w:cs="微软简标宋"/>
          <w:sz w:val="36"/>
          <w:szCs w:val="36"/>
          <w:lang w:val="en-US" w:eastAsia="zh-CN"/>
        </w:rPr>
        <w:t>四</w:t>
      </w:r>
      <w:r>
        <w:rPr>
          <w:rFonts w:hint="eastAsia" w:ascii="微软简标宋" w:hAnsi="微软简标宋" w:eastAsia="微软简标宋" w:cs="微软简标宋"/>
          <w:sz w:val="36"/>
          <w:szCs w:val="36"/>
        </w:rPr>
        <w:t>年</w:t>
      </w:r>
      <w:r>
        <w:rPr>
          <w:rFonts w:hint="eastAsia" w:ascii="微软简标宋" w:hAnsi="微软简标宋" w:eastAsia="微软简标宋" w:cs="微软简标宋"/>
          <w:sz w:val="36"/>
          <w:szCs w:val="36"/>
          <w:lang w:val="en-US" w:eastAsia="zh-CN"/>
        </w:rPr>
        <w:t>四</w:t>
      </w:r>
      <w:r>
        <w:rPr>
          <w:rFonts w:hint="eastAsia" w:ascii="微软简标宋" w:hAnsi="微软简标宋" w:eastAsia="微软简标宋" w:cs="微软简标宋"/>
          <w:sz w:val="36"/>
          <w:szCs w:val="36"/>
        </w:rPr>
        <w:t>月</w:t>
      </w:r>
    </w:p>
    <w:p>
      <w:pPr>
        <w:rPr>
          <w:rFonts w:ascii="宋体" w:hAnsi="宋体"/>
          <w:sz w:val="28"/>
          <w:szCs w:val="28"/>
        </w:rPr>
        <w:sectPr>
          <w:footerReference r:id="rId3" w:type="default"/>
          <w:pgSz w:w="11906" w:h="16838"/>
          <w:pgMar w:top="1418" w:right="1418" w:bottom="1134" w:left="1418" w:header="851" w:footer="992" w:gutter="0"/>
          <w:pgNumType w:fmt="numberInDash"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本项目的业主方是广东省东江流域管理局，服务商是执行本项目相关服务任务的服务方。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黑体" w:hAnsi="黑体" w:eastAsia="黑体" w:cs="黑体"/>
          <w:b w:val="0"/>
          <w:bCs/>
          <w:sz w:val="28"/>
          <w:szCs w:val="28"/>
        </w:rPr>
      </w:pPr>
      <w:r>
        <w:rPr>
          <w:rFonts w:hint="eastAsia" w:ascii="黑体" w:hAnsi="黑体" w:eastAsia="黑体" w:cs="黑体"/>
          <w:b w:val="0"/>
          <w:bCs/>
          <w:sz w:val="28"/>
          <w:szCs w:val="28"/>
          <w:lang w:eastAsia="zh-CN"/>
        </w:rPr>
        <w:t>一、</w:t>
      </w:r>
      <w:r>
        <w:rPr>
          <w:rFonts w:hint="eastAsia" w:ascii="黑体" w:hAnsi="黑体" w:eastAsia="黑体" w:cs="黑体"/>
          <w:b w:val="0"/>
          <w:bCs/>
          <w:sz w:val="28"/>
          <w:szCs w:val="28"/>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广东省东江水资源水量水质监控系统(以下简称“监控系统”)是为有效实施《广东省东江流域水资源分配方案》(</w:t>
      </w:r>
      <w:r>
        <w:rPr>
          <w:rFonts w:hint="eastAsia" w:asciiTheme="minorEastAsia" w:hAnsiTheme="minorEastAsia" w:eastAsiaTheme="minorEastAsia" w:cstheme="minorEastAsia"/>
          <w:sz w:val="28"/>
          <w:szCs w:val="28"/>
          <w:lang w:eastAsia="zh-CN"/>
        </w:rPr>
        <w:t>粤府办</w:t>
      </w:r>
      <w:r>
        <w:rPr>
          <w:rFonts w:hint="eastAsia" w:asciiTheme="minorEastAsia" w:hAnsiTheme="minorEastAsia" w:eastAsiaTheme="minorEastAsia" w:cstheme="minorEastAsia"/>
          <w:sz w:val="28"/>
          <w:szCs w:val="28"/>
          <w:lang w:val="en-US" w:eastAsia="zh-CN"/>
        </w:rPr>
        <w:t>[2008]50号文</w:t>
      </w:r>
      <w:r>
        <w:rPr>
          <w:rFonts w:hint="eastAsia" w:asciiTheme="minorEastAsia" w:hAnsiTheme="minorEastAsia" w:eastAsiaTheme="minorEastAsia" w:cstheme="minorEastAsia"/>
          <w:sz w:val="28"/>
          <w:szCs w:val="28"/>
        </w:rPr>
        <w:t>)，保障香港、广州、深圳、东莞、惠州、河源等地供水安全而建设的大型水利信息系统</w:t>
      </w:r>
      <w:r>
        <w:rPr>
          <w:rFonts w:hint="eastAsia" w:asciiTheme="minorEastAsia" w:hAnsiTheme="minorEastAsia" w:eastAsiaTheme="minorEastAsia" w:cstheme="minorEastAsia"/>
          <w:sz w:val="28"/>
          <w:szCs w:val="28"/>
          <w:lang w:eastAsia="zh-CN"/>
        </w:rPr>
        <w:t>，监控系统于2014年建成并全面投入运行使用</w:t>
      </w: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color w:val="000000"/>
          <w:sz w:val="28"/>
          <w:szCs w:val="28"/>
        </w:rPr>
        <w:t>主要</w:t>
      </w:r>
      <w:r>
        <w:rPr>
          <w:rFonts w:hint="eastAsia" w:asciiTheme="minorEastAsia" w:hAnsiTheme="minorEastAsia" w:eastAsiaTheme="minorEastAsia" w:cstheme="minorEastAsia"/>
          <w:color w:val="000000"/>
          <w:sz w:val="28"/>
          <w:szCs w:val="28"/>
          <w:lang w:eastAsia="zh-CN"/>
        </w:rPr>
        <w:t>内容是对监控系统建设的</w:t>
      </w:r>
      <w:r>
        <w:rPr>
          <w:rFonts w:hint="eastAsia" w:asciiTheme="minorEastAsia" w:hAnsiTheme="minorEastAsia" w:eastAsiaTheme="minorEastAsia" w:cstheme="minorEastAsia"/>
          <w:color w:val="000000"/>
          <w:sz w:val="28"/>
          <w:szCs w:val="28"/>
        </w:rPr>
        <w:t>8个流量在线监测控制断面站点站房</w:t>
      </w:r>
      <w:r>
        <w:rPr>
          <w:rFonts w:hint="eastAsia" w:asciiTheme="minorEastAsia" w:hAnsiTheme="minorEastAsia" w:eastAsiaTheme="minorEastAsia" w:cstheme="minorEastAsia"/>
          <w:color w:val="000000"/>
          <w:sz w:val="28"/>
          <w:szCs w:val="28"/>
          <w:lang w:eastAsia="zh-CN"/>
        </w:rPr>
        <w:t>及监测设备</w:t>
      </w:r>
      <w:r>
        <w:rPr>
          <w:rFonts w:hint="eastAsia" w:asciiTheme="minorEastAsia" w:hAnsiTheme="minorEastAsia" w:eastAsiaTheme="minorEastAsia" w:cstheme="minorEastAsia"/>
          <w:color w:val="000000"/>
          <w:sz w:val="28"/>
          <w:szCs w:val="28"/>
        </w:rPr>
        <w:t>的</w:t>
      </w:r>
      <w:r>
        <w:rPr>
          <w:rFonts w:hint="eastAsia" w:asciiTheme="minorEastAsia" w:hAnsiTheme="minorEastAsia" w:eastAsiaTheme="minorEastAsia" w:cstheme="minorEastAsia"/>
          <w:color w:val="000000"/>
          <w:sz w:val="28"/>
          <w:szCs w:val="28"/>
          <w:lang w:eastAsia="zh-CN"/>
        </w:rPr>
        <w:t>运行</w:t>
      </w:r>
      <w:r>
        <w:rPr>
          <w:rFonts w:hint="eastAsia" w:asciiTheme="minorEastAsia" w:hAnsiTheme="minorEastAsia" w:eastAsiaTheme="minorEastAsia" w:cstheme="minorEastAsia"/>
          <w:color w:val="000000"/>
          <w:sz w:val="28"/>
          <w:szCs w:val="28"/>
        </w:rPr>
        <w:t>维护，含在线监测设备比测校核率定、河道清</w:t>
      </w:r>
      <w:r>
        <w:rPr>
          <w:rFonts w:hint="eastAsia" w:asciiTheme="minorEastAsia" w:hAnsiTheme="minorEastAsia" w:eastAsiaTheme="minorEastAsia" w:cstheme="minorEastAsia"/>
          <w:color w:val="000000"/>
          <w:sz w:val="28"/>
          <w:szCs w:val="28"/>
          <w:lang w:eastAsia="zh-CN"/>
        </w:rPr>
        <w:t>障</w:t>
      </w:r>
      <w:r>
        <w:rPr>
          <w:rFonts w:hint="eastAsia" w:asciiTheme="minorEastAsia" w:hAnsiTheme="minorEastAsia" w:eastAsiaTheme="minorEastAsia" w:cstheme="minorEastAsia"/>
          <w:color w:val="000000"/>
          <w:sz w:val="28"/>
          <w:szCs w:val="28"/>
        </w:rPr>
        <w:t>、水浮莲等漂浮物清理、河道断面测量和水尺校准、安保及</w:t>
      </w:r>
      <w:r>
        <w:rPr>
          <w:rFonts w:hint="eastAsia" w:asciiTheme="minorEastAsia" w:hAnsiTheme="minorEastAsia" w:eastAsiaTheme="minorEastAsia" w:cstheme="minorEastAsia"/>
          <w:color w:val="000000"/>
          <w:sz w:val="28"/>
          <w:szCs w:val="28"/>
          <w:lang w:eastAsia="zh-CN"/>
        </w:rPr>
        <w:t>供电保障</w:t>
      </w:r>
      <w:r>
        <w:rPr>
          <w:rFonts w:hint="eastAsia" w:asciiTheme="minorEastAsia" w:hAnsiTheme="minorEastAsia" w:eastAsiaTheme="minorEastAsia" w:cstheme="minorEastAsia"/>
          <w:color w:val="000000"/>
          <w:sz w:val="28"/>
          <w:szCs w:val="28"/>
        </w:rPr>
        <w:t>等，</w:t>
      </w:r>
      <w:r>
        <w:rPr>
          <w:rFonts w:hint="eastAsia" w:asciiTheme="minorEastAsia" w:hAnsiTheme="minorEastAsia" w:eastAsiaTheme="minorEastAsia" w:cstheme="minorEastAsia"/>
          <w:color w:val="000000"/>
          <w:sz w:val="28"/>
          <w:szCs w:val="28"/>
          <w:lang w:eastAsia="zh-CN"/>
        </w:rPr>
        <w:t>以及</w:t>
      </w:r>
      <w:r>
        <w:rPr>
          <w:rFonts w:hint="eastAsia" w:asciiTheme="minorEastAsia" w:hAnsiTheme="minorEastAsia" w:eastAsiaTheme="minorEastAsia" w:cstheme="minorEastAsia"/>
          <w:color w:val="000000"/>
          <w:sz w:val="28"/>
          <w:szCs w:val="28"/>
          <w:lang w:val="en-US" w:eastAsia="zh-CN"/>
        </w:rPr>
        <w:t>11</w:t>
      </w:r>
      <w:r>
        <w:rPr>
          <w:rFonts w:hint="eastAsia" w:asciiTheme="minorEastAsia" w:hAnsiTheme="minorEastAsia" w:eastAsiaTheme="minorEastAsia" w:cstheme="minorEastAsia"/>
          <w:color w:val="000000"/>
          <w:sz w:val="28"/>
          <w:szCs w:val="28"/>
        </w:rPr>
        <w:t>个</w:t>
      </w:r>
      <w:r>
        <w:rPr>
          <w:rFonts w:hint="eastAsia" w:asciiTheme="minorEastAsia" w:hAnsiTheme="minorEastAsia" w:eastAsiaTheme="minorEastAsia" w:cstheme="minorEastAsia"/>
          <w:color w:val="000000"/>
          <w:sz w:val="28"/>
          <w:szCs w:val="28"/>
          <w:lang w:eastAsia="zh-CN"/>
        </w:rPr>
        <w:t>视频</w:t>
      </w:r>
      <w:r>
        <w:rPr>
          <w:rFonts w:hint="eastAsia" w:asciiTheme="minorEastAsia" w:hAnsiTheme="minorEastAsia" w:eastAsiaTheme="minorEastAsia" w:cstheme="minorEastAsia"/>
          <w:color w:val="000000"/>
          <w:sz w:val="28"/>
          <w:szCs w:val="28"/>
          <w:lang w:val="en-US" w:eastAsia="zh-CN"/>
        </w:rPr>
        <w:t>信息采集</w:t>
      </w:r>
      <w:r>
        <w:rPr>
          <w:rFonts w:hint="eastAsia" w:asciiTheme="minorEastAsia" w:hAnsiTheme="minorEastAsia" w:eastAsiaTheme="minorEastAsia" w:cstheme="minorEastAsia"/>
          <w:color w:val="000000"/>
          <w:sz w:val="28"/>
          <w:szCs w:val="28"/>
          <w:lang w:eastAsia="zh-CN"/>
        </w:rPr>
        <w:t>点</w:t>
      </w:r>
      <w:r>
        <w:rPr>
          <w:rFonts w:hint="eastAsia" w:asciiTheme="minorEastAsia" w:hAnsiTheme="minorEastAsia" w:eastAsiaTheme="minorEastAsia" w:cstheme="minorEastAsia"/>
          <w:color w:val="000000"/>
          <w:sz w:val="28"/>
          <w:szCs w:val="28"/>
        </w:rPr>
        <w:t>的安保及</w:t>
      </w:r>
      <w:r>
        <w:rPr>
          <w:rFonts w:hint="eastAsia" w:asciiTheme="minorEastAsia" w:hAnsiTheme="minorEastAsia" w:eastAsiaTheme="minorEastAsia" w:cstheme="minorEastAsia"/>
          <w:color w:val="000000"/>
          <w:sz w:val="28"/>
          <w:szCs w:val="28"/>
          <w:lang w:eastAsia="zh-CN"/>
        </w:rPr>
        <w:t>供电保障等</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outlineLvl w:val="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二、站点有关情况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控制断面站点和</w:t>
      </w:r>
      <w:r>
        <w:rPr>
          <w:rFonts w:hint="eastAsia" w:asciiTheme="minorEastAsia" w:hAnsiTheme="minorEastAsia" w:eastAsiaTheme="minorEastAsia" w:cstheme="minorEastAsia"/>
          <w:color w:val="000000"/>
          <w:sz w:val="28"/>
          <w:szCs w:val="28"/>
          <w:lang w:val="en-US" w:eastAsia="zh-CN"/>
        </w:rPr>
        <w:t>视频信息采集点</w:t>
      </w:r>
      <w:r>
        <w:rPr>
          <w:rFonts w:hint="eastAsia" w:asciiTheme="minorEastAsia" w:hAnsiTheme="minorEastAsia" w:eastAsiaTheme="minorEastAsia" w:cstheme="minorEastAsia"/>
          <w:color w:val="000000"/>
          <w:sz w:val="28"/>
          <w:szCs w:val="28"/>
        </w:rPr>
        <w:t>基本情况详见下表：</w:t>
      </w:r>
    </w:p>
    <w:p>
      <w:pPr>
        <w:spacing w:line="240" w:lineRule="auto"/>
        <w:ind w:firstLine="422" w:firstLineChars="20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表一  </w:t>
      </w:r>
      <w:r>
        <w:rPr>
          <w:rFonts w:hint="eastAsia" w:asciiTheme="minorEastAsia" w:hAnsiTheme="minorEastAsia" w:eastAsiaTheme="minorEastAsia" w:cstheme="minorEastAsia"/>
          <w:b/>
          <w:sz w:val="21"/>
          <w:szCs w:val="21"/>
          <w:lang w:val="en-US" w:eastAsia="zh-CN"/>
        </w:rPr>
        <w:t>8</w:t>
      </w:r>
      <w:r>
        <w:rPr>
          <w:rFonts w:hint="eastAsia" w:asciiTheme="minorEastAsia" w:hAnsiTheme="minorEastAsia" w:eastAsiaTheme="minorEastAsia" w:cstheme="minorEastAsia"/>
          <w:b/>
          <w:sz w:val="21"/>
          <w:szCs w:val="21"/>
        </w:rPr>
        <w:t>个控制断面站点基本情况</w:t>
      </w:r>
    </w:p>
    <w:tbl>
      <w:tblPr>
        <w:tblStyle w:val="15"/>
        <w:tblW w:w="86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11"/>
        <w:gridCol w:w="1102"/>
        <w:gridCol w:w="1652"/>
        <w:gridCol w:w="1400"/>
        <w:gridCol w:w="1167"/>
        <w:gridCol w:w="2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72" w:hRule="atLeast"/>
          <w:tblHeader/>
          <w:jc w:val="center"/>
        </w:trPr>
        <w:tc>
          <w:tcPr>
            <w:tcW w:w="411" w:type="dxa"/>
            <w:vMerge w:val="restart"/>
            <w:tcBorders>
              <w:top w:val="single" w:color="auto" w:sz="12" w:space="0"/>
              <w:bottom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102" w:type="dxa"/>
            <w:vMerge w:val="restart"/>
            <w:tcBorders>
              <w:top w:val="single" w:color="auto" w:sz="12" w:space="0"/>
              <w:bottom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监控对象</w:t>
            </w:r>
          </w:p>
        </w:tc>
        <w:tc>
          <w:tcPr>
            <w:tcW w:w="1652" w:type="dxa"/>
            <w:vMerge w:val="restart"/>
            <w:tcBorders>
              <w:top w:val="single" w:color="auto" w:sz="12" w:space="0"/>
              <w:bottom w:val="single" w:color="auto" w:sz="6" w:space="0"/>
              <w:right w:val="single" w:color="auto" w:sz="4"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区域位置</w:t>
            </w:r>
          </w:p>
        </w:tc>
        <w:tc>
          <w:tcPr>
            <w:tcW w:w="1400" w:type="dxa"/>
            <w:vMerge w:val="restart"/>
            <w:tcBorders>
              <w:top w:val="single" w:color="auto" w:sz="12" w:space="0"/>
              <w:left w:val="single" w:color="auto" w:sz="4" w:space="0"/>
              <w:bottom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监测信息</w:t>
            </w:r>
          </w:p>
        </w:tc>
        <w:tc>
          <w:tcPr>
            <w:tcW w:w="1167" w:type="dxa"/>
            <w:vMerge w:val="restart"/>
            <w:tcBorders>
              <w:top w:val="single" w:color="auto" w:sz="12" w:space="0"/>
              <w:bottom w:val="single" w:color="auto" w:sz="6" w:space="0"/>
              <w:right w:val="single" w:color="auto" w:sz="4"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c>
          <w:tcPr>
            <w:tcW w:w="2871" w:type="dxa"/>
            <w:vMerge w:val="restart"/>
            <w:tcBorders>
              <w:top w:val="single" w:color="auto" w:sz="12" w:space="0"/>
              <w:left w:val="single" w:color="auto" w:sz="4" w:space="0"/>
              <w:bottom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主要设施设备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72" w:hRule="atLeast"/>
          <w:tblHeader/>
          <w:jc w:val="center"/>
        </w:trPr>
        <w:tc>
          <w:tcPr>
            <w:tcW w:w="411" w:type="dxa"/>
            <w:vMerge w:val="continue"/>
            <w:tcBorders>
              <w:top w:val="single" w:color="auto" w:sz="6" w:space="0"/>
              <w:bottom w:val="single" w:color="auto" w:sz="6" w:space="0"/>
            </w:tcBorders>
            <w:vAlign w:val="center"/>
          </w:tcPr>
          <w:p>
            <w:pPr>
              <w:adjustRightInd w:val="0"/>
              <w:snapToGrid w:val="0"/>
              <w:spacing w:line="240" w:lineRule="auto"/>
              <w:ind w:firstLine="420"/>
              <w:jc w:val="center"/>
              <w:rPr>
                <w:rFonts w:hint="eastAsia" w:asciiTheme="minorEastAsia" w:hAnsiTheme="minorEastAsia" w:eastAsiaTheme="minorEastAsia" w:cstheme="minorEastAsia"/>
                <w:b/>
                <w:sz w:val="21"/>
                <w:szCs w:val="21"/>
              </w:rPr>
            </w:pPr>
          </w:p>
        </w:tc>
        <w:tc>
          <w:tcPr>
            <w:tcW w:w="1102" w:type="dxa"/>
            <w:vMerge w:val="continue"/>
            <w:tcBorders>
              <w:top w:val="single" w:color="auto" w:sz="6" w:space="0"/>
              <w:bottom w:val="single" w:color="auto" w:sz="6" w:space="0"/>
            </w:tcBorders>
            <w:vAlign w:val="center"/>
          </w:tcPr>
          <w:p>
            <w:pPr>
              <w:adjustRightInd w:val="0"/>
              <w:snapToGrid w:val="0"/>
              <w:spacing w:line="240" w:lineRule="auto"/>
              <w:ind w:firstLine="420"/>
              <w:jc w:val="center"/>
              <w:rPr>
                <w:rFonts w:hint="eastAsia" w:asciiTheme="minorEastAsia" w:hAnsiTheme="minorEastAsia" w:eastAsiaTheme="minorEastAsia" w:cstheme="minorEastAsia"/>
                <w:b/>
                <w:sz w:val="21"/>
                <w:szCs w:val="21"/>
              </w:rPr>
            </w:pPr>
          </w:p>
        </w:tc>
        <w:tc>
          <w:tcPr>
            <w:tcW w:w="1652" w:type="dxa"/>
            <w:vMerge w:val="continue"/>
            <w:tcBorders>
              <w:top w:val="single" w:color="auto" w:sz="6" w:space="0"/>
              <w:bottom w:val="single" w:color="auto" w:sz="6" w:space="0"/>
              <w:right w:val="single" w:color="auto" w:sz="4" w:space="0"/>
            </w:tcBorders>
            <w:vAlign w:val="center"/>
          </w:tcPr>
          <w:p>
            <w:pPr>
              <w:adjustRightInd w:val="0"/>
              <w:snapToGrid w:val="0"/>
              <w:spacing w:line="240" w:lineRule="auto"/>
              <w:ind w:firstLine="420"/>
              <w:jc w:val="center"/>
              <w:rPr>
                <w:rFonts w:hint="eastAsia" w:asciiTheme="minorEastAsia" w:hAnsiTheme="minorEastAsia" w:eastAsiaTheme="minorEastAsia" w:cstheme="minorEastAsia"/>
                <w:b/>
                <w:sz w:val="21"/>
                <w:szCs w:val="21"/>
              </w:rPr>
            </w:pPr>
          </w:p>
        </w:tc>
        <w:tc>
          <w:tcPr>
            <w:tcW w:w="1400" w:type="dxa"/>
            <w:vMerge w:val="continue"/>
            <w:tcBorders>
              <w:top w:val="single" w:color="auto" w:sz="6" w:space="0"/>
              <w:left w:val="single" w:color="auto" w:sz="4" w:space="0"/>
              <w:bottom w:val="single" w:color="auto" w:sz="6" w:space="0"/>
            </w:tcBorders>
            <w:vAlign w:val="center"/>
          </w:tcPr>
          <w:p>
            <w:pPr>
              <w:adjustRightInd w:val="0"/>
              <w:snapToGrid w:val="0"/>
              <w:spacing w:line="240" w:lineRule="auto"/>
              <w:ind w:firstLine="420"/>
              <w:jc w:val="center"/>
              <w:rPr>
                <w:rFonts w:hint="eastAsia" w:asciiTheme="minorEastAsia" w:hAnsiTheme="minorEastAsia" w:eastAsiaTheme="minorEastAsia" w:cstheme="minorEastAsia"/>
                <w:b/>
                <w:sz w:val="21"/>
                <w:szCs w:val="21"/>
              </w:rPr>
            </w:pPr>
          </w:p>
        </w:tc>
        <w:tc>
          <w:tcPr>
            <w:tcW w:w="1167" w:type="dxa"/>
            <w:vMerge w:val="continue"/>
            <w:tcBorders>
              <w:top w:val="single" w:color="auto" w:sz="6" w:space="0"/>
              <w:bottom w:val="single" w:color="auto" w:sz="6" w:space="0"/>
              <w:right w:val="single" w:color="auto" w:sz="4" w:space="0"/>
            </w:tcBorders>
            <w:vAlign w:val="center"/>
          </w:tcPr>
          <w:p>
            <w:pPr>
              <w:adjustRightInd w:val="0"/>
              <w:snapToGrid w:val="0"/>
              <w:spacing w:line="240" w:lineRule="auto"/>
              <w:ind w:firstLine="420"/>
              <w:jc w:val="center"/>
              <w:rPr>
                <w:rFonts w:hint="eastAsia" w:asciiTheme="minorEastAsia" w:hAnsiTheme="minorEastAsia" w:eastAsiaTheme="minorEastAsia" w:cstheme="minorEastAsia"/>
                <w:b/>
                <w:sz w:val="21"/>
                <w:szCs w:val="21"/>
              </w:rPr>
            </w:pPr>
          </w:p>
        </w:tc>
        <w:tc>
          <w:tcPr>
            <w:tcW w:w="2871" w:type="dxa"/>
            <w:vMerge w:val="continue"/>
            <w:tcBorders>
              <w:top w:val="single" w:color="auto" w:sz="6" w:space="0"/>
              <w:left w:val="single" w:color="auto" w:sz="4" w:space="0"/>
              <w:bottom w:val="single" w:color="auto" w:sz="6" w:space="0"/>
            </w:tcBorders>
            <w:vAlign w:val="center"/>
          </w:tcPr>
          <w:p>
            <w:pPr>
              <w:adjustRightInd w:val="0"/>
              <w:snapToGrid w:val="0"/>
              <w:spacing w:line="240" w:lineRule="auto"/>
              <w:ind w:firstLine="420"/>
              <w:jc w:val="center"/>
              <w:rPr>
                <w:rFonts w:hint="eastAsia" w:asciiTheme="minorEastAsia" w:hAnsiTheme="minorEastAsia" w:eastAsiaTheme="minorEastAsia" w:cstheme="minorEastAsia"/>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tcBorders>
              <w:top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02" w:type="dxa"/>
            <w:tcBorders>
              <w:top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枫树坝坝下</w:t>
            </w:r>
          </w:p>
        </w:tc>
        <w:tc>
          <w:tcPr>
            <w:tcW w:w="1652" w:type="dxa"/>
            <w:tcBorders>
              <w:top w:val="single" w:color="auto" w:sz="6" w:space="0"/>
              <w:right w:val="single" w:color="auto" w:sz="4" w:space="0"/>
            </w:tcBorders>
            <w:vAlign w:val="center"/>
          </w:tcPr>
          <w:p>
            <w:pPr>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河源市龙川县赤光镇</w:t>
            </w:r>
          </w:p>
        </w:tc>
        <w:tc>
          <w:tcPr>
            <w:tcW w:w="1400" w:type="dxa"/>
            <w:tcBorders>
              <w:top w:val="single" w:color="auto" w:sz="6" w:space="0"/>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水位、流量在线，视频</w:t>
            </w:r>
          </w:p>
        </w:tc>
        <w:tc>
          <w:tcPr>
            <w:tcW w:w="1167" w:type="dxa"/>
            <w:tcBorders>
              <w:top w:val="single" w:color="auto" w:sz="6" w:space="0"/>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枫树坝水库出口</w:t>
            </w:r>
          </w:p>
        </w:tc>
        <w:tc>
          <w:tcPr>
            <w:tcW w:w="2871" w:type="dxa"/>
            <w:tcBorders>
              <w:top w:val="single" w:color="auto" w:sz="6" w:space="0"/>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站房(9m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压力式水位计设备</w:t>
            </w:r>
            <w:r>
              <w:rPr>
                <w:rFonts w:hint="eastAsia" w:asciiTheme="minorEastAsia" w:hAnsiTheme="minorEastAsia" w:eastAsiaTheme="minorEastAsia" w:cstheme="minorEastAsia"/>
                <w:sz w:val="21"/>
                <w:szCs w:val="21"/>
              </w:rPr>
              <w:t>一套，视频摄像设备一套，通信、供电等设施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102"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新丰江出口</w:t>
            </w:r>
          </w:p>
        </w:tc>
        <w:tc>
          <w:tcPr>
            <w:tcW w:w="1652" w:type="dxa"/>
            <w:tcBorders>
              <w:right w:val="single" w:color="auto" w:sz="4" w:space="0"/>
            </w:tcBorders>
            <w:vAlign w:val="center"/>
          </w:tcPr>
          <w:p>
            <w:pPr>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河源市源城区源西镇庄田村</w:t>
            </w:r>
          </w:p>
        </w:tc>
        <w:tc>
          <w:tcPr>
            <w:tcW w:w="140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水位、流量在线，视频</w:t>
            </w:r>
          </w:p>
        </w:tc>
        <w:tc>
          <w:tcPr>
            <w:tcW w:w="1167" w:type="dxa"/>
            <w:tcBorders>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新丰江东江入口</w:t>
            </w:r>
          </w:p>
        </w:tc>
        <w:tc>
          <w:tcPr>
            <w:tcW w:w="2871"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站房(20m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)，H-ADCP测流设备一套，视频摄像设备一套，通信、供电等设施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102"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江口</w:t>
            </w:r>
          </w:p>
        </w:tc>
        <w:tc>
          <w:tcPr>
            <w:tcW w:w="1652" w:type="dxa"/>
            <w:tcBorders>
              <w:right w:val="single" w:color="auto" w:sz="4" w:space="0"/>
            </w:tcBorders>
            <w:vAlign w:val="center"/>
          </w:tcPr>
          <w:p>
            <w:pPr>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惠州市博罗县观音阁镇</w:t>
            </w:r>
          </w:p>
        </w:tc>
        <w:tc>
          <w:tcPr>
            <w:tcW w:w="140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水位、流量、水质在线，视频</w:t>
            </w:r>
          </w:p>
        </w:tc>
        <w:tc>
          <w:tcPr>
            <w:tcW w:w="1167" w:type="dxa"/>
            <w:tcBorders>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河源惠州交界</w:t>
            </w:r>
          </w:p>
        </w:tc>
        <w:tc>
          <w:tcPr>
            <w:tcW w:w="2871"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站房(28m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)，压力式水位计设备一套，7参数及重金属水质在线监测设备一套，视频摄像设备两套，通信、供电、空调等设施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102"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东新桥</w:t>
            </w:r>
          </w:p>
        </w:tc>
        <w:tc>
          <w:tcPr>
            <w:tcW w:w="1652" w:type="dxa"/>
            <w:tcBorders>
              <w:right w:val="single" w:color="auto" w:sz="4" w:space="0"/>
            </w:tcBorders>
            <w:vAlign w:val="center"/>
          </w:tcPr>
          <w:p>
            <w:pPr>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惠州市惠城区西枝江二桥</w:t>
            </w:r>
          </w:p>
        </w:tc>
        <w:tc>
          <w:tcPr>
            <w:tcW w:w="140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水位、流量在线，视频</w:t>
            </w:r>
          </w:p>
        </w:tc>
        <w:tc>
          <w:tcPr>
            <w:tcW w:w="1167" w:type="dxa"/>
            <w:tcBorders>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西枝江东江</w:t>
            </w:r>
            <w:r>
              <w:rPr>
                <w:rFonts w:hint="eastAsia" w:asciiTheme="minorEastAsia" w:hAnsiTheme="minorEastAsia" w:eastAsiaTheme="minorEastAsia" w:cstheme="minorEastAsia"/>
                <w:sz w:val="21"/>
                <w:szCs w:val="21"/>
                <w:lang w:eastAsia="zh-CN"/>
              </w:rPr>
              <w:t>汇</w:t>
            </w:r>
            <w:r>
              <w:rPr>
                <w:rFonts w:hint="eastAsia" w:asciiTheme="minorEastAsia" w:hAnsiTheme="minorEastAsia" w:eastAsiaTheme="minorEastAsia" w:cstheme="minorEastAsia"/>
                <w:sz w:val="21"/>
                <w:szCs w:val="21"/>
              </w:rPr>
              <w:t>入口</w:t>
            </w:r>
          </w:p>
        </w:tc>
        <w:tc>
          <w:tcPr>
            <w:tcW w:w="2871"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站房(20m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)，H-ADCP测流设备一套，视频摄像设备一套，通信、供电等设施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102"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东岸</w:t>
            </w:r>
          </w:p>
        </w:tc>
        <w:tc>
          <w:tcPr>
            <w:tcW w:w="1652" w:type="dxa"/>
            <w:tcBorders>
              <w:right w:val="single" w:color="auto" w:sz="4" w:space="0"/>
            </w:tcBorders>
            <w:vAlign w:val="center"/>
          </w:tcPr>
          <w:p>
            <w:pPr>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东莞市桥头镇</w:t>
            </w:r>
          </w:p>
        </w:tc>
        <w:tc>
          <w:tcPr>
            <w:tcW w:w="140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水位、流量、水质在线，视频</w:t>
            </w:r>
          </w:p>
        </w:tc>
        <w:tc>
          <w:tcPr>
            <w:tcW w:w="1167" w:type="dxa"/>
            <w:tcBorders>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惠州东莞交界</w:t>
            </w:r>
          </w:p>
        </w:tc>
        <w:tc>
          <w:tcPr>
            <w:tcW w:w="2871"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站房(28m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)，H-ADCP测流设备一套，7参数水质在线监测设备一套，视频摄像设备两套，通信、供电、空调等设施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102"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石龙桥</w:t>
            </w:r>
          </w:p>
        </w:tc>
        <w:tc>
          <w:tcPr>
            <w:tcW w:w="1652" w:type="dxa"/>
            <w:tcBorders>
              <w:right w:val="single" w:color="auto" w:sz="4" w:space="0"/>
            </w:tcBorders>
            <w:vAlign w:val="center"/>
          </w:tcPr>
          <w:p>
            <w:pPr>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东莞市石龙镇</w:t>
            </w:r>
          </w:p>
        </w:tc>
        <w:tc>
          <w:tcPr>
            <w:tcW w:w="140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水位、流量，视频</w:t>
            </w:r>
          </w:p>
        </w:tc>
        <w:tc>
          <w:tcPr>
            <w:tcW w:w="1167" w:type="dxa"/>
            <w:tcBorders>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惠州东莞广州交界</w:t>
            </w:r>
          </w:p>
        </w:tc>
        <w:tc>
          <w:tcPr>
            <w:tcW w:w="2871"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站房(30m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)，H-ADCP测流设备一套，视频摄像设备一套，通信、供电等设施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102" w:type="dxa"/>
            <w:vAlign w:val="center"/>
          </w:tcPr>
          <w:p>
            <w:pPr>
              <w:tabs>
                <w:tab w:val="left" w:pos="9648"/>
              </w:tabs>
              <w:autoSpaceDE w:val="0"/>
              <w:autoSpaceDN w:val="0"/>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九龙潭</w:t>
            </w:r>
          </w:p>
        </w:tc>
        <w:tc>
          <w:tcPr>
            <w:tcW w:w="1652" w:type="dxa"/>
            <w:tcBorders>
              <w:right w:val="single" w:color="auto" w:sz="4" w:space="0"/>
            </w:tcBorders>
            <w:vAlign w:val="center"/>
          </w:tcPr>
          <w:p>
            <w:pPr>
              <w:tabs>
                <w:tab w:val="left" w:pos="9648"/>
              </w:tabs>
              <w:autoSpaceDE w:val="0"/>
              <w:autoSpaceDN w:val="0"/>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广州市增城区正果镇何黄屋村</w:t>
            </w:r>
          </w:p>
        </w:tc>
        <w:tc>
          <w:tcPr>
            <w:tcW w:w="1400" w:type="dxa"/>
            <w:tcBorders>
              <w:left w:val="single" w:color="auto" w:sz="4" w:space="0"/>
            </w:tcBorders>
            <w:vAlign w:val="center"/>
          </w:tcPr>
          <w:p>
            <w:pPr>
              <w:tabs>
                <w:tab w:val="left" w:pos="9648"/>
              </w:tabs>
              <w:autoSpaceDE w:val="0"/>
              <w:autoSpaceDN w:val="0"/>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水位、流量、水质在线、视频</w:t>
            </w:r>
          </w:p>
        </w:tc>
        <w:tc>
          <w:tcPr>
            <w:tcW w:w="1167" w:type="dxa"/>
            <w:tcBorders>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惠州广州交界</w:t>
            </w:r>
          </w:p>
        </w:tc>
        <w:tc>
          <w:tcPr>
            <w:tcW w:w="2871"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站房(28m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)，H-ADCP测流设备一套，7参数水质在线监测设备一套，视频摄像两套，通信、供电、空调等设施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411"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102"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观海口</w:t>
            </w:r>
          </w:p>
        </w:tc>
        <w:tc>
          <w:tcPr>
            <w:tcW w:w="1652" w:type="dxa"/>
            <w:tcBorders>
              <w:right w:val="single" w:color="auto" w:sz="4" w:space="0"/>
            </w:tcBorders>
            <w:vAlign w:val="center"/>
          </w:tcPr>
          <w:p>
            <w:pPr>
              <w:adjustRightInd w:val="0"/>
              <w:snapToGrid w:val="0"/>
              <w:spacing w:line="240" w:lineRule="auto"/>
              <w:ind w:firstLine="10" w:firstLineChars="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广州市增城区石滩镇孙家铺村</w:t>
            </w:r>
          </w:p>
        </w:tc>
        <w:tc>
          <w:tcPr>
            <w:tcW w:w="140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水位、流量，视频</w:t>
            </w:r>
          </w:p>
        </w:tc>
        <w:tc>
          <w:tcPr>
            <w:tcW w:w="1167" w:type="dxa"/>
            <w:tcBorders>
              <w:righ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增江东江入口</w:t>
            </w:r>
          </w:p>
        </w:tc>
        <w:tc>
          <w:tcPr>
            <w:tcW w:w="2871"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站房(8m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)，H-ADCP测流设备一套，视频摄像设备一套，通信、供电等设施</w:t>
            </w:r>
          </w:p>
        </w:tc>
      </w:tr>
    </w:tbl>
    <w:p>
      <w:pPr>
        <w:spacing w:line="240" w:lineRule="auto"/>
        <w:ind w:firstLine="422" w:firstLineChars="20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表二  </w:t>
      </w:r>
      <w:r>
        <w:rPr>
          <w:rFonts w:hint="eastAsia" w:asciiTheme="minorEastAsia" w:hAnsiTheme="minorEastAsia" w:eastAsiaTheme="minorEastAsia" w:cstheme="minorEastAsia"/>
          <w:b/>
          <w:sz w:val="21"/>
          <w:szCs w:val="21"/>
          <w:lang w:val="en-US" w:eastAsia="zh-CN"/>
        </w:rPr>
        <w:t>11</w:t>
      </w:r>
      <w:r>
        <w:rPr>
          <w:rFonts w:hint="eastAsia" w:asciiTheme="minorEastAsia" w:hAnsiTheme="minorEastAsia" w:eastAsiaTheme="minorEastAsia" w:cstheme="minorEastAsia"/>
          <w:b/>
          <w:sz w:val="21"/>
          <w:szCs w:val="21"/>
        </w:rPr>
        <w:t>个</w:t>
      </w:r>
      <w:r>
        <w:rPr>
          <w:rFonts w:hint="eastAsia" w:asciiTheme="minorEastAsia" w:hAnsiTheme="minorEastAsia" w:eastAsiaTheme="minorEastAsia" w:cstheme="minorEastAsia"/>
          <w:b/>
          <w:sz w:val="21"/>
          <w:szCs w:val="21"/>
          <w:lang w:eastAsia="zh-CN"/>
        </w:rPr>
        <w:t>视频</w:t>
      </w:r>
      <w:r>
        <w:rPr>
          <w:rFonts w:hint="eastAsia" w:asciiTheme="minorEastAsia" w:hAnsiTheme="minorEastAsia" w:eastAsiaTheme="minorEastAsia" w:cstheme="minorEastAsia"/>
          <w:b/>
          <w:sz w:val="21"/>
          <w:szCs w:val="21"/>
          <w:lang w:val="en-US" w:eastAsia="zh-CN"/>
        </w:rPr>
        <w:t>信息采集</w:t>
      </w:r>
      <w:r>
        <w:rPr>
          <w:rFonts w:hint="eastAsia" w:asciiTheme="minorEastAsia" w:hAnsiTheme="minorEastAsia" w:eastAsiaTheme="minorEastAsia" w:cstheme="minorEastAsia"/>
          <w:b/>
          <w:sz w:val="21"/>
          <w:szCs w:val="21"/>
          <w:lang w:eastAsia="zh-CN"/>
        </w:rPr>
        <w:t>点</w:t>
      </w:r>
      <w:r>
        <w:rPr>
          <w:rFonts w:hint="eastAsia" w:asciiTheme="minorEastAsia" w:hAnsiTheme="minorEastAsia" w:eastAsiaTheme="minorEastAsia" w:cstheme="minorEastAsia"/>
          <w:b/>
          <w:sz w:val="21"/>
          <w:szCs w:val="21"/>
        </w:rPr>
        <w:t>基本情况</w:t>
      </w:r>
    </w:p>
    <w:tbl>
      <w:tblPr>
        <w:tblStyle w:val="15"/>
        <w:tblW w:w="88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6"/>
        <w:gridCol w:w="2059"/>
        <w:gridCol w:w="3112"/>
        <w:gridCol w:w="1114"/>
        <w:gridCol w:w="20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tblHeader/>
          <w:jc w:val="center"/>
        </w:trPr>
        <w:tc>
          <w:tcPr>
            <w:tcW w:w="506" w:type="dxa"/>
            <w:vMerge w:val="restart"/>
            <w:tcBorders>
              <w:top w:val="single" w:color="auto" w:sz="12" w:space="0"/>
              <w:bottom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59" w:type="dxa"/>
            <w:vMerge w:val="restart"/>
            <w:tcBorders>
              <w:top w:val="single" w:color="auto" w:sz="12" w:space="0"/>
              <w:bottom w:val="single" w:color="auto" w:sz="6" w:space="0"/>
            </w:tcBorders>
            <w:vAlign w:val="center"/>
          </w:tcPr>
          <w:p>
            <w:pPr>
              <w:tabs>
                <w:tab w:val="left" w:pos="418"/>
                <w:tab w:val="center" w:pos="1357"/>
              </w:tabs>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支流汇入口名称</w:t>
            </w:r>
          </w:p>
        </w:tc>
        <w:tc>
          <w:tcPr>
            <w:tcW w:w="3112" w:type="dxa"/>
            <w:vMerge w:val="restart"/>
            <w:tcBorders>
              <w:top w:val="single" w:color="auto" w:sz="12" w:space="0"/>
              <w:bottom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区域位置</w:t>
            </w:r>
          </w:p>
        </w:tc>
        <w:tc>
          <w:tcPr>
            <w:tcW w:w="1114" w:type="dxa"/>
            <w:vMerge w:val="restart"/>
            <w:tcBorders>
              <w:top w:val="single" w:color="auto" w:sz="12" w:space="0"/>
              <w:bottom w:val="single" w:color="auto" w:sz="6" w:space="0"/>
              <w:right w:val="single" w:color="auto" w:sz="4"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监测信息</w:t>
            </w:r>
          </w:p>
        </w:tc>
        <w:tc>
          <w:tcPr>
            <w:tcW w:w="2030" w:type="dxa"/>
            <w:vMerge w:val="restart"/>
            <w:tcBorders>
              <w:top w:val="single" w:color="auto" w:sz="12" w:space="0"/>
              <w:left w:val="single" w:color="auto" w:sz="4" w:space="0"/>
              <w:bottom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主要设施设备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 w:hRule="atLeast"/>
          <w:tblHeader/>
          <w:jc w:val="center"/>
        </w:trPr>
        <w:tc>
          <w:tcPr>
            <w:tcW w:w="506" w:type="dxa"/>
            <w:vMerge w:val="continue"/>
            <w:tcBorders>
              <w:top w:val="single" w:color="auto" w:sz="6" w:space="0"/>
              <w:bottom w:val="single" w:color="auto" w:sz="6" w:space="0"/>
            </w:tcBorders>
            <w:vAlign w:val="center"/>
          </w:tcPr>
          <w:p>
            <w:pPr>
              <w:adjustRightInd w:val="0"/>
              <w:snapToGrid w:val="0"/>
              <w:spacing w:line="240" w:lineRule="auto"/>
              <w:jc w:val="center"/>
              <w:rPr>
                <w:rFonts w:hint="eastAsia" w:asciiTheme="minorEastAsia" w:hAnsiTheme="minorEastAsia" w:eastAsiaTheme="minorEastAsia" w:cstheme="minorEastAsia"/>
                <w:b/>
                <w:sz w:val="21"/>
                <w:szCs w:val="21"/>
              </w:rPr>
            </w:pPr>
          </w:p>
        </w:tc>
        <w:tc>
          <w:tcPr>
            <w:tcW w:w="2059" w:type="dxa"/>
            <w:vMerge w:val="continue"/>
            <w:tcBorders>
              <w:top w:val="single" w:color="auto" w:sz="6" w:space="0"/>
              <w:bottom w:val="single" w:color="auto" w:sz="6" w:space="0"/>
            </w:tcBorders>
            <w:vAlign w:val="center"/>
          </w:tcPr>
          <w:p>
            <w:pPr>
              <w:adjustRightInd w:val="0"/>
              <w:snapToGrid w:val="0"/>
              <w:spacing w:line="240" w:lineRule="auto"/>
              <w:jc w:val="center"/>
              <w:rPr>
                <w:rFonts w:hint="eastAsia" w:asciiTheme="minorEastAsia" w:hAnsiTheme="minorEastAsia" w:eastAsiaTheme="minorEastAsia" w:cstheme="minorEastAsia"/>
                <w:b/>
                <w:sz w:val="21"/>
                <w:szCs w:val="21"/>
              </w:rPr>
            </w:pPr>
          </w:p>
        </w:tc>
        <w:tc>
          <w:tcPr>
            <w:tcW w:w="3112" w:type="dxa"/>
            <w:vMerge w:val="continue"/>
            <w:tcBorders>
              <w:top w:val="single" w:color="auto" w:sz="6" w:space="0"/>
              <w:bottom w:val="single" w:color="auto" w:sz="6" w:space="0"/>
            </w:tcBorders>
            <w:vAlign w:val="center"/>
          </w:tcPr>
          <w:p>
            <w:pPr>
              <w:adjustRightInd w:val="0"/>
              <w:snapToGrid w:val="0"/>
              <w:spacing w:line="240" w:lineRule="auto"/>
              <w:ind w:left="-96" w:leftChars="-30" w:right="-96" w:rightChars="-30" w:firstLine="420"/>
              <w:jc w:val="center"/>
              <w:rPr>
                <w:rFonts w:hint="eastAsia" w:asciiTheme="minorEastAsia" w:hAnsiTheme="minorEastAsia" w:eastAsiaTheme="minorEastAsia" w:cstheme="minorEastAsia"/>
                <w:b/>
                <w:sz w:val="21"/>
                <w:szCs w:val="21"/>
              </w:rPr>
            </w:pPr>
          </w:p>
        </w:tc>
        <w:tc>
          <w:tcPr>
            <w:tcW w:w="1114" w:type="dxa"/>
            <w:vMerge w:val="continue"/>
            <w:tcBorders>
              <w:top w:val="single" w:color="auto" w:sz="6" w:space="0"/>
              <w:bottom w:val="single" w:color="auto" w:sz="6" w:space="0"/>
              <w:right w:val="single" w:color="auto" w:sz="4" w:space="0"/>
            </w:tcBorders>
            <w:vAlign w:val="center"/>
          </w:tcPr>
          <w:p>
            <w:pPr>
              <w:adjustRightInd w:val="0"/>
              <w:snapToGrid w:val="0"/>
              <w:spacing w:line="240" w:lineRule="auto"/>
              <w:jc w:val="center"/>
              <w:rPr>
                <w:rFonts w:hint="eastAsia" w:asciiTheme="minorEastAsia" w:hAnsiTheme="minorEastAsia" w:eastAsiaTheme="minorEastAsia" w:cstheme="minorEastAsia"/>
                <w:b/>
                <w:sz w:val="21"/>
                <w:szCs w:val="21"/>
              </w:rPr>
            </w:pPr>
          </w:p>
        </w:tc>
        <w:tc>
          <w:tcPr>
            <w:tcW w:w="2030" w:type="dxa"/>
            <w:vMerge w:val="continue"/>
            <w:tcBorders>
              <w:top w:val="single" w:color="auto" w:sz="6" w:space="0"/>
              <w:left w:val="single" w:color="auto" w:sz="4" w:space="0"/>
              <w:bottom w:val="single" w:color="auto" w:sz="6" w:space="0"/>
            </w:tcBorders>
            <w:vAlign w:val="center"/>
          </w:tcPr>
          <w:p>
            <w:pPr>
              <w:adjustRightInd w:val="0"/>
              <w:snapToGrid w:val="0"/>
              <w:spacing w:line="240" w:lineRule="auto"/>
              <w:jc w:val="center"/>
              <w:rPr>
                <w:rFonts w:hint="eastAsia" w:asciiTheme="minorEastAsia" w:hAnsiTheme="minorEastAsia" w:eastAsiaTheme="minorEastAsia" w:cstheme="minorEastAsia"/>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506" w:type="dxa"/>
            <w:tcBorders>
              <w:top w:val="single" w:color="auto" w:sz="6"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59" w:type="dxa"/>
            <w:tcBorders>
              <w:top w:val="single" w:color="auto" w:sz="6"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西湖村</w:t>
            </w:r>
          </w:p>
        </w:tc>
        <w:tc>
          <w:tcPr>
            <w:tcW w:w="3112" w:type="dxa"/>
            <w:tcBorders>
              <w:top w:val="single" w:color="auto" w:sz="6"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惠州市惠阳区秋长镇</w:t>
            </w:r>
          </w:p>
        </w:tc>
        <w:tc>
          <w:tcPr>
            <w:tcW w:w="1114" w:type="dxa"/>
            <w:tcBorders>
              <w:top w:val="single" w:color="auto" w:sz="6" w:space="0"/>
              <w:right w:val="single" w:color="auto" w:sz="4"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w:t>
            </w:r>
          </w:p>
        </w:tc>
        <w:tc>
          <w:tcPr>
            <w:tcW w:w="2030" w:type="dxa"/>
            <w:tcBorders>
              <w:top w:val="single" w:color="auto" w:sz="6" w:space="0"/>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506"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上垟</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深圳市龙岗区坪山镇</w:t>
            </w:r>
          </w:p>
        </w:tc>
        <w:tc>
          <w:tcPr>
            <w:tcW w:w="1114" w:type="dxa"/>
            <w:tcBorders>
              <w:right w:val="single" w:color="auto" w:sz="4"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视频</w:t>
            </w:r>
          </w:p>
        </w:tc>
        <w:tc>
          <w:tcPr>
            <w:tcW w:w="203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沿江桥下支流汇入口</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河源市源城区市政府上游600米</w:t>
            </w:r>
          </w:p>
        </w:tc>
        <w:tc>
          <w:tcPr>
            <w:tcW w:w="1114" w:type="dxa"/>
            <w:tcBorders>
              <w:right w:val="single" w:color="auto" w:sz="4" w:space="0"/>
            </w:tcBorders>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tcBorders>
              <w:left w:val="single" w:color="auto" w:sz="4" w:space="0"/>
            </w:tcBorders>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榕溪沥水闸</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博罗县罗阳镇观背村</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小金河支流汇入口</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惠州市惠城区小金河河口</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望江沥支流汇入口</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惠州市惠城区江北望江电排站</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马嘶水闸</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惠州市博罗县龙溪镇马嘶村</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沙河支流汇入口</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东莞市石龙镇沙河河口</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石排向西支流汇入口</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东莞市石排镇向西排站</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燕岭水闸</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东莞市石排镇燕岭排站</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506" w:type="dxa"/>
            <w:vAlign w:val="center"/>
          </w:tcPr>
          <w:p>
            <w:pPr>
              <w:adjustRightInd w:val="0"/>
              <w:snapToGrid w:val="0"/>
              <w:spacing w:line="240" w:lineRule="auto"/>
              <w:ind w:left="0" w:lef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059"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石马河新开河口支流汇入口</w:t>
            </w:r>
          </w:p>
        </w:tc>
        <w:tc>
          <w:tcPr>
            <w:tcW w:w="3112"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东莞市桥头镇石马河新开河口</w:t>
            </w:r>
          </w:p>
        </w:tc>
        <w:tc>
          <w:tcPr>
            <w:tcW w:w="1114" w:type="dxa"/>
            <w:vAlign w:val="center"/>
          </w:tcPr>
          <w:p>
            <w:pPr>
              <w:adjustRightInd w:val="0"/>
              <w:snapToGrid w:val="0"/>
              <w:spacing w:line="240" w:lineRule="auto"/>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w:t>
            </w:r>
          </w:p>
        </w:tc>
        <w:tc>
          <w:tcPr>
            <w:tcW w:w="2030" w:type="dxa"/>
            <w:vAlign w:val="center"/>
          </w:tcPr>
          <w:p>
            <w:pPr>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视频摄像设备一套</w:t>
            </w:r>
          </w:p>
        </w:tc>
      </w:tr>
    </w:tbl>
    <w:p>
      <w:pPr>
        <w:spacing w:line="24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东江监控系统监控对象信息采集点分布</w:t>
      </w:r>
      <w:r>
        <w:rPr>
          <w:rFonts w:hint="eastAsia" w:asciiTheme="minorEastAsia" w:hAnsiTheme="minorEastAsia" w:eastAsiaTheme="minorEastAsia" w:cstheme="minorEastAsia"/>
          <w:sz w:val="28"/>
          <w:szCs w:val="28"/>
          <w:lang w:eastAsia="zh-CN"/>
        </w:rPr>
        <w:t>情况如下图。</w:t>
      </w:r>
    </w:p>
    <w:p>
      <w:pPr>
        <w:spacing w:line="240" w:lineRule="auto"/>
        <w:ind w:firstLine="0" w:firstLineChars="0"/>
        <w:jc w:val="center"/>
        <w:rPr>
          <w:rFonts w:ascii="宋体" w:hAnsi="宋体"/>
          <w:sz w:val="24"/>
        </w:rPr>
      </w:pPr>
      <w:r>
        <w:rPr>
          <w:rFonts w:ascii="宋体" w:hAnsi="宋体"/>
          <w:sz w:val="24"/>
        </w:rPr>
        <w:drawing>
          <wp:inline distT="0" distB="0" distL="114300" distR="114300">
            <wp:extent cx="4984115" cy="5513070"/>
            <wp:effectExtent l="0" t="0" r="6985" b="11430"/>
            <wp:docPr id="3" name="图片 1" descr="C:\Users\DELL\Desktop\微信图片_20200227154153.png微信图片_2020022715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DELL\Desktop\微信图片_20200227154153.png微信图片_20200227154153"/>
                    <pic:cNvPicPr>
                      <a:picLocks noChangeAspect="1"/>
                    </pic:cNvPicPr>
                  </pic:nvPicPr>
                  <pic:blipFill>
                    <a:blip r:embed="rId6"/>
                    <a:stretch>
                      <a:fillRect/>
                    </a:stretch>
                  </pic:blipFill>
                  <pic:spPr>
                    <a:xfrm>
                      <a:off x="0" y="0"/>
                      <a:ext cx="4984115" cy="5513070"/>
                    </a:xfrm>
                    <a:prstGeom prst="rect">
                      <a:avLst/>
                    </a:prstGeom>
                    <a:noFill/>
                    <a:ln>
                      <a:noFill/>
                    </a:ln>
                  </pic:spPr>
                </pic:pic>
              </a:graphicData>
            </a:graphic>
          </wp:inline>
        </w:drawing>
      </w:r>
    </w:p>
    <w:p>
      <w:pPr>
        <w:spacing w:line="240" w:lineRule="auto"/>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图1  东江监控系统监控对象信息采集点分布示意图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三、项目内容</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控制断面站点</w:t>
      </w:r>
      <w:r>
        <w:rPr>
          <w:rFonts w:hint="eastAsia" w:asciiTheme="minorEastAsia" w:hAnsiTheme="minorEastAsia" w:eastAsiaTheme="minorEastAsia" w:cstheme="minorEastAsia"/>
          <w:b/>
          <w:bCs/>
          <w:sz w:val="28"/>
          <w:szCs w:val="28"/>
          <w:lang w:eastAsia="zh-CN"/>
        </w:rPr>
        <w:t>运行</w:t>
      </w:r>
      <w:r>
        <w:rPr>
          <w:rFonts w:hint="eastAsia" w:asciiTheme="minorEastAsia" w:hAnsiTheme="minorEastAsia" w:eastAsiaTheme="minorEastAsia" w:cstheme="minorEastAsia"/>
          <w:b/>
          <w:bCs/>
          <w:sz w:val="28"/>
          <w:szCs w:val="28"/>
        </w:rPr>
        <w:t>维护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lang w:eastAsia="zh-CN"/>
        </w:rPr>
        <w:t>站点</w:t>
      </w:r>
      <w:r>
        <w:rPr>
          <w:rFonts w:hint="eastAsia" w:asciiTheme="minorEastAsia" w:hAnsiTheme="minorEastAsia" w:eastAsiaTheme="minorEastAsia" w:cstheme="minorEastAsia"/>
          <w:b w:val="0"/>
          <w:bCs w:val="0"/>
          <w:sz w:val="28"/>
          <w:szCs w:val="28"/>
        </w:rPr>
        <w:t>站房供电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按时向供电部门缴纳电费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确保站房内外的供电线路、开关及照明设施正常运行。一旦出现断电情况，</w:t>
      </w:r>
      <w:r>
        <w:rPr>
          <w:rFonts w:hint="eastAsia" w:asciiTheme="minorEastAsia" w:hAnsiTheme="minorEastAsia" w:eastAsiaTheme="minorEastAsia" w:cstheme="minorEastAsia"/>
          <w:sz w:val="28"/>
          <w:szCs w:val="28"/>
          <w:lang w:eastAsia="zh-CN"/>
        </w:rPr>
        <w:t>要求能</w:t>
      </w:r>
      <w:r>
        <w:rPr>
          <w:rFonts w:hint="eastAsia" w:asciiTheme="minorEastAsia" w:hAnsiTheme="minorEastAsia" w:eastAsiaTheme="minorEastAsia" w:cstheme="minorEastAsia"/>
          <w:sz w:val="28"/>
          <w:szCs w:val="28"/>
        </w:rPr>
        <w:t>及时发现、妥善处理并通知</w:t>
      </w:r>
      <w:r>
        <w:rPr>
          <w:rFonts w:hint="eastAsia" w:asciiTheme="minorEastAsia" w:hAnsiTheme="minorEastAsia" w:eastAsiaTheme="minorEastAsia" w:cstheme="minorEastAsia"/>
          <w:sz w:val="28"/>
          <w:szCs w:val="28"/>
          <w:lang w:eastAsia="zh-CN"/>
        </w:rPr>
        <w:t>业主方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电表或供电总开关之后（含总开关）</w:t>
      </w:r>
      <w:r>
        <w:rPr>
          <w:rFonts w:hint="eastAsia" w:asciiTheme="minorEastAsia" w:hAnsiTheme="minorEastAsia" w:eastAsiaTheme="minorEastAsia" w:cstheme="minorEastAsia"/>
          <w:sz w:val="28"/>
          <w:szCs w:val="28"/>
        </w:rPr>
        <w:t>的供电线路、开关及照明</w:t>
      </w:r>
      <w:r>
        <w:rPr>
          <w:rFonts w:hint="eastAsia" w:asciiTheme="minorEastAsia" w:hAnsiTheme="minorEastAsia" w:eastAsiaTheme="minorEastAsia" w:cstheme="minorEastAsia"/>
          <w:sz w:val="28"/>
          <w:szCs w:val="28"/>
          <w:lang w:eastAsia="zh-CN"/>
        </w:rPr>
        <w:t>等</w:t>
      </w:r>
      <w:r>
        <w:rPr>
          <w:rFonts w:hint="eastAsia" w:asciiTheme="minorEastAsia" w:hAnsiTheme="minorEastAsia" w:eastAsiaTheme="minorEastAsia" w:cstheme="minorEastAsia"/>
          <w:sz w:val="28"/>
          <w:szCs w:val="28"/>
        </w:rPr>
        <w:t>设施故障，</w:t>
      </w:r>
      <w:r>
        <w:rPr>
          <w:rFonts w:hint="eastAsia" w:asciiTheme="minorEastAsia" w:hAnsiTheme="minorEastAsia" w:eastAsiaTheme="minorEastAsia" w:cstheme="minorEastAsia"/>
          <w:sz w:val="28"/>
          <w:szCs w:val="28"/>
          <w:lang w:eastAsia="zh-CN"/>
        </w:rPr>
        <w:t>由服务商负责修复</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电表或总开关之前</w:t>
      </w:r>
      <w:r>
        <w:rPr>
          <w:rFonts w:hint="eastAsia" w:asciiTheme="minorEastAsia" w:hAnsiTheme="minorEastAsia" w:eastAsiaTheme="minorEastAsia" w:cstheme="minorEastAsia"/>
          <w:sz w:val="28"/>
          <w:szCs w:val="28"/>
        </w:rPr>
        <w:t>的供电线路故障，</w:t>
      </w:r>
      <w:r>
        <w:rPr>
          <w:rFonts w:hint="eastAsia" w:asciiTheme="minorEastAsia" w:hAnsiTheme="minorEastAsia" w:eastAsiaTheme="minorEastAsia" w:cstheme="minorEastAsia"/>
          <w:sz w:val="28"/>
          <w:szCs w:val="28"/>
          <w:lang w:eastAsia="zh-CN"/>
        </w:rPr>
        <w:t>由服务商协调</w:t>
      </w:r>
      <w:r>
        <w:rPr>
          <w:rFonts w:hint="eastAsia" w:asciiTheme="minorEastAsia" w:hAnsiTheme="minorEastAsia" w:eastAsiaTheme="minorEastAsia" w:cstheme="minorEastAsia"/>
          <w:sz w:val="28"/>
          <w:szCs w:val="28"/>
        </w:rPr>
        <w:t>供电部门</w:t>
      </w:r>
      <w:r>
        <w:rPr>
          <w:rFonts w:hint="eastAsia" w:asciiTheme="minorEastAsia" w:hAnsiTheme="minorEastAsia" w:eastAsiaTheme="minorEastAsia" w:cstheme="minorEastAsia"/>
          <w:sz w:val="28"/>
          <w:szCs w:val="28"/>
          <w:lang w:eastAsia="zh-CN"/>
        </w:rPr>
        <w:t>或相关责任部门</w:t>
      </w:r>
      <w:r>
        <w:rPr>
          <w:rFonts w:hint="eastAsia" w:asciiTheme="minorEastAsia" w:hAnsiTheme="minorEastAsia" w:eastAsiaTheme="minorEastAsia" w:cstheme="minorEastAsia"/>
          <w:sz w:val="28"/>
          <w:szCs w:val="28"/>
        </w:rPr>
        <w:t>修复。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2.站点</w:t>
      </w:r>
      <w:r>
        <w:rPr>
          <w:rFonts w:hint="eastAsia" w:asciiTheme="minorEastAsia" w:hAnsiTheme="minorEastAsia" w:eastAsiaTheme="minorEastAsia" w:cstheme="minorEastAsia"/>
          <w:b w:val="0"/>
          <w:bCs w:val="0"/>
          <w:sz w:val="28"/>
          <w:szCs w:val="28"/>
        </w:rPr>
        <w:t>站房安保及维护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安排专人负责站房基础设施及水量、水质、视频等监测设备的安全看护，以防遭到人为破坏。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及时做好站房栏杆、扶手、爬梯或者不锈钢防盗门等</w:t>
      </w:r>
      <w:r>
        <w:rPr>
          <w:rFonts w:hint="eastAsia" w:asciiTheme="minorEastAsia" w:hAnsiTheme="minorEastAsia" w:eastAsiaTheme="minorEastAsia" w:cstheme="minorEastAsia"/>
          <w:sz w:val="28"/>
          <w:szCs w:val="28"/>
          <w:lang w:eastAsia="zh-CN"/>
        </w:rPr>
        <w:t>设施的</w:t>
      </w:r>
      <w:r>
        <w:rPr>
          <w:rFonts w:hint="eastAsia" w:asciiTheme="minorEastAsia" w:hAnsiTheme="minorEastAsia" w:eastAsiaTheme="minorEastAsia" w:cstheme="minorEastAsia"/>
          <w:sz w:val="28"/>
          <w:szCs w:val="28"/>
        </w:rPr>
        <w:t>防锈处理和</w:t>
      </w:r>
      <w:r>
        <w:rPr>
          <w:rFonts w:hint="eastAsia" w:asciiTheme="minorEastAsia" w:hAnsiTheme="minorEastAsia" w:eastAsiaTheme="minorEastAsia" w:cstheme="minorEastAsia"/>
          <w:sz w:val="28"/>
          <w:szCs w:val="28"/>
          <w:lang w:eastAsia="zh-CN"/>
        </w:rPr>
        <w:t>站房</w:t>
      </w:r>
      <w:r>
        <w:rPr>
          <w:rFonts w:hint="eastAsia" w:asciiTheme="minorEastAsia" w:hAnsiTheme="minorEastAsia" w:eastAsiaTheme="minorEastAsia" w:cstheme="minorEastAsia"/>
          <w:sz w:val="28"/>
          <w:szCs w:val="28"/>
        </w:rPr>
        <w:t>窗户玻璃、警示标牌的破损修复等工作。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定期清理站房周边杂草，做好进入站房通道的维护工作。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保持站房室内清洁卫生。</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做好站房防火、防水、防漏电等其它工作，及时消除各类安全隐患。若站房发生漏水/渗水，</w:t>
      </w:r>
      <w:r>
        <w:rPr>
          <w:rFonts w:hint="eastAsia" w:asciiTheme="minorEastAsia" w:hAnsiTheme="minorEastAsia" w:eastAsiaTheme="minorEastAsia" w:cstheme="minorEastAsia"/>
          <w:sz w:val="28"/>
          <w:szCs w:val="28"/>
          <w:lang w:eastAsia="zh-CN"/>
        </w:rPr>
        <w:t>能</w:t>
      </w:r>
      <w:r>
        <w:rPr>
          <w:rFonts w:hint="eastAsia" w:asciiTheme="minorEastAsia" w:hAnsiTheme="minorEastAsia" w:eastAsiaTheme="minorEastAsia" w:cstheme="minorEastAsia"/>
          <w:sz w:val="28"/>
          <w:szCs w:val="28"/>
        </w:rPr>
        <w:t>及时</w:t>
      </w:r>
      <w:r>
        <w:rPr>
          <w:rFonts w:hint="eastAsia" w:asciiTheme="minorEastAsia" w:hAnsiTheme="minorEastAsia" w:eastAsiaTheme="minorEastAsia" w:cstheme="minorEastAsia"/>
          <w:sz w:val="28"/>
          <w:szCs w:val="28"/>
          <w:lang w:eastAsia="zh-CN"/>
        </w:rPr>
        <w:t>进行</w:t>
      </w:r>
      <w:r>
        <w:rPr>
          <w:rFonts w:hint="eastAsia" w:asciiTheme="minorEastAsia" w:hAnsiTheme="minorEastAsia" w:eastAsiaTheme="minorEastAsia" w:cstheme="minorEastAsia"/>
          <w:sz w:val="28"/>
          <w:szCs w:val="28"/>
        </w:rPr>
        <w:t>修复。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保证每月到站房巡查2次，每次间隔时间不得大于20天。</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在线测验设备</w:t>
      </w:r>
      <w:r>
        <w:rPr>
          <w:rFonts w:hint="eastAsia" w:asciiTheme="minorEastAsia" w:hAnsiTheme="minorEastAsia" w:eastAsiaTheme="minorEastAsia" w:cstheme="minorEastAsia"/>
          <w:b/>
          <w:bCs/>
          <w:sz w:val="28"/>
          <w:szCs w:val="28"/>
          <w:lang w:eastAsia="zh-CN"/>
        </w:rPr>
        <w:t>运行</w:t>
      </w:r>
      <w:r>
        <w:rPr>
          <w:rFonts w:hint="eastAsia" w:asciiTheme="minorEastAsia" w:hAnsiTheme="minorEastAsia" w:eastAsiaTheme="minorEastAsia" w:cstheme="minorEastAsia"/>
          <w:b/>
          <w:bCs/>
          <w:sz w:val="28"/>
          <w:szCs w:val="28"/>
        </w:rPr>
        <w:t>维护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新丰江出口、东新桥、东岸、石龙桥、九龙潭、观海口等</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个控制断面站点各布有H-ADCP在线测流设备一套，在线监测河段断面水位、流量；枫树坝坝下、江口</w:t>
      </w:r>
      <w:r>
        <w:rPr>
          <w:rFonts w:hint="eastAsia" w:asciiTheme="minorEastAsia" w:hAnsiTheme="minorEastAsia" w:eastAsiaTheme="minorEastAsia" w:cstheme="minorEastAsia"/>
          <w:sz w:val="28"/>
          <w:szCs w:val="28"/>
          <w:lang w:eastAsia="zh-CN"/>
        </w:rPr>
        <w:t>等</w:t>
      </w:r>
      <w:r>
        <w:rPr>
          <w:rFonts w:hint="eastAsia" w:asciiTheme="minorEastAsia" w:hAnsiTheme="minorEastAsia" w:eastAsiaTheme="minorEastAsia" w:cstheme="minorEastAsia"/>
          <w:sz w:val="28"/>
          <w:szCs w:val="28"/>
          <w:lang w:val="en-US" w:eastAsia="zh-CN"/>
        </w:rPr>
        <w:t>2个</w:t>
      </w:r>
      <w:r>
        <w:rPr>
          <w:rFonts w:hint="eastAsia" w:asciiTheme="minorEastAsia" w:hAnsiTheme="minorEastAsia" w:eastAsiaTheme="minorEastAsia" w:cstheme="minorEastAsia"/>
          <w:sz w:val="28"/>
          <w:szCs w:val="28"/>
        </w:rPr>
        <w:t>控制断面站点</w:t>
      </w:r>
      <w:r>
        <w:rPr>
          <w:rFonts w:hint="eastAsia" w:asciiTheme="minorEastAsia" w:hAnsiTheme="minorEastAsia" w:eastAsiaTheme="minorEastAsia" w:cstheme="minorEastAsia"/>
          <w:sz w:val="28"/>
          <w:szCs w:val="28"/>
          <w:lang w:eastAsia="zh-CN"/>
        </w:rPr>
        <w:t>各</w:t>
      </w:r>
      <w:r>
        <w:rPr>
          <w:rFonts w:hint="eastAsia" w:asciiTheme="minorEastAsia" w:hAnsiTheme="minorEastAsia" w:eastAsiaTheme="minorEastAsia" w:cstheme="minorEastAsia"/>
          <w:sz w:val="28"/>
          <w:szCs w:val="28"/>
        </w:rPr>
        <w:t>布有压力式水位计设备一套，在线监测河段断面水位。</w:t>
      </w:r>
      <w:r>
        <w:rPr>
          <w:rFonts w:hint="eastAsia" w:asciiTheme="minorEastAsia" w:hAnsiTheme="minorEastAsia" w:eastAsiaTheme="minorEastAsia" w:cstheme="minorEastAsia"/>
          <w:sz w:val="28"/>
          <w:szCs w:val="28"/>
          <w:lang w:eastAsia="zh-CN"/>
        </w:rPr>
        <w:t>本项目需</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eastAsia="zh-CN"/>
        </w:rPr>
        <w:t>上述</w:t>
      </w:r>
      <w:r>
        <w:rPr>
          <w:rFonts w:hint="eastAsia" w:asciiTheme="minorEastAsia" w:hAnsiTheme="minorEastAsia" w:eastAsiaTheme="minorEastAsia" w:cstheme="minorEastAsia"/>
          <w:sz w:val="28"/>
          <w:szCs w:val="28"/>
        </w:rPr>
        <w:t>在线测验设备</w:t>
      </w:r>
      <w:r>
        <w:rPr>
          <w:rFonts w:hint="eastAsia" w:asciiTheme="minorEastAsia" w:hAnsiTheme="minorEastAsia" w:eastAsiaTheme="minorEastAsia" w:cstheme="minorEastAsia"/>
          <w:sz w:val="28"/>
          <w:szCs w:val="28"/>
          <w:lang w:eastAsia="zh-CN"/>
        </w:rPr>
        <w:t>进行运行</w:t>
      </w:r>
      <w:r>
        <w:rPr>
          <w:rFonts w:hint="eastAsia" w:asciiTheme="minorEastAsia" w:hAnsiTheme="minorEastAsia" w:eastAsiaTheme="minorEastAsia" w:cstheme="minorEastAsia"/>
          <w:sz w:val="28"/>
          <w:szCs w:val="28"/>
        </w:rPr>
        <w:t>维护，主要包括以下内容：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kern w:val="2"/>
          <w:sz w:val="28"/>
          <w:szCs w:val="28"/>
          <w:lang w:val="en-US" w:eastAsia="zh-CN" w:bidi="ar-SA"/>
        </w:rPr>
        <w:t>H-ADCP比测率定、水位～流量关系曲线校测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视流域水情及在线测验设备的运行状况，对6站的H-ADCP进行跟踪比测率定及2站的水位～流量关系曲线校测</w:t>
      </w:r>
      <w:r>
        <w:rPr>
          <w:rFonts w:hint="eastAsia" w:asciiTheme="minorEastAsia" w:hAnsiTheme="minorEastAsia" w:eastAsiaTheme="minorEastAsia" w:cstheme="minorEastAsia"/>
          <w:sz w:val="28"/>
          <w:szCs w:val="28"/>
          <w:lang w:eastAsia="zh-CN"/>
        </w:rPr>
        <w:t>。外业采用走航式ADCP进行对比测率定，每站每两个月率定一次（48次），每站汛前、汛末各加测一次（16次），预留机动加测任务（5次），合计不少于69次。完成外业工作后，还需开展内业率定工作，对水位～流量关系曲线进行修订，</w:t>
      </w:r>
      <w:r>
        <w:rPr>
          <w:rFonts w:hint="eastAsia" w:asciiTheme="minorEastAsia" w:hAnsiTheme="minorEastAsia" w:eastAsiaTheme="minorEastAsia" w:cstheme="minorEastAsia"/>
          <w:sz w:val="28"/>
          <w:szCs w:val="28"/>
        </w:rPr>
        <w:t>保证H-ADCP流量在线测验设备和压力式水位计测验设备测量数据的准确、可靠。</w:t>
      </w:r>
      <w:r>
        <w:rPr>
          <w:rFonts w:hint="eastAsia" w:asciiTheme="minorEastAsia" w:hAnsiTheme="minorEastAsia" w:eastAsiaTheme="minorEastAsia" w:cstheme="minorEastAsia"/>
          <w:sz w:val="28"/>
          <w:szCs w:val="28"/>
          <w:lang w:eastAsia="zh-CN"/>
        </w:rPr>
        <w:t>开展率定工作前，需向业主方报备，并将外业测量过程拍照存档。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2.</w:t>
      </w:r>
      <w:r>
        <w:rPr>
          <w:rFonts w:hint="eastAsia" w:asciiTheme="minorEastAsia" w:hAnsiTheme="minorEastAsia" w:eastAsiaTheme="minorEastAsia" w:cstheme="minorEastAsia"/>
          <w:b w:val="0"/>
          <w:bCs w:val="0"/>
          <w:color w:val="000000"/>
          <w:sz w:val="28"/>
          <w:szCs w:val="28"/>
        </w:rPr>
        <w:t>水准、水尺及断面测量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rPr>
        <w:t>按照《水文测量规范》(SL58-2014)要求，每年对</w:t>
      </w:r>
      <w:r>
        <w:rPr>
          <w:rFonts w:hint="eastAsia" w:asciiTheme="minorEastAsia" w:hAnsiTheme="minorEastAsia" w:eastAsiaTheme="minorEastAsia" w:cstheme="minorEastAsia"/>
          <w:b w:val="0"/>
          <w:bCs w:val="0"/>
          <w:color w:val="000000"/>
          <w:sz w:val="28"/>
          <w:szCs w:val="28"/>
          <w:lang w:val="en-US" w:eastAsia="zh-CN"/>
        </w:rPr>
        <w:t>8个控制断面站点水准、水尺及断面测量。水准测量1次，水尺零点、断面测量各2次（</w:t>
      </w:r>
      <w:r>
        <w:rPr>
          <w:rFonts w:hint="eastAsia" w:asciiTheme="minorEastAsia" w:hAnsiTheme="minorEastAsia" w:eastAsiaTheme="minorEastAsia" w:cstheme="minorEastAsia"/>
          <w:color w:val="000000"/>
          <w:sz w:val="28"/>
          <w:szCs w:val="28"/>
        </w:rPr>
        <w:t>一般在汛前、汛后或者大洪水过后</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highlight w:val="none"/>
        </w:rPr>
        <w:t>。</w:t>
      </w:r>
      <w:r>
        <w:rPr>
          <w:rFonts w:hint="eastAsia" w:asciiTheme="minorEastAsia" w:hAnsiTheme="minorEastAsia" w:eastAsiaTheme="minorEastAsia" w:cstheme="minorEastAsia"/>
          <w:sz w:val="28"/>
          <w:szCs w:val="28"/>
          <w:lang w:eastAsia="zh-CN"/>
        </w:rPr>
        <w:t>完成外业工作后，还需开展内业资料整理工作。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3.</w:t>
      </w:r>
      <w:r>
        <w:rPr>
          <w:rFonts w:hint="eastAsia" w:asciiTheme="minorEastAsia" w:hAnsiTheme="minorEastAsia" w:eastAsiaTheme="minorEastAsia" w:cstheme="minorEastAsia"/>
          <w:b w:val="0"/>
          <w:bCs w:val="0"/>
          <w:color w:val="000000"/>
          <w:sz w:val="28"/>
          <w:szCs w:val="28"/>
        </w:rPr>
        <w:t>水浮莲、漂浮物清理及断面河床</w:t>
      </w:r>
      <w:r>
        <w:rPr>
          <w:rFonts w:hint="eastAsia" w:asciiTheme="minorEastAsia" w:hAnsiTheme="minorEastAsia" w:eastAsiaTheme="minorEastAsia" w:cstheme="minorEastAsia"/>
          <w:b w:val="0"/>
          <w:bCs w:val="0"/>
          <w:color w:val="000000"/>
          <w:sz w:val="28"/>
          <w:szCs w:val="28"/>
          <w:lang w:eastAsia="zh-CN"/>
        </w:rPr>
        <w:t>清障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受水流运动尤其是汛期的洪水及漂浮物影响，若</w:t>
      </w:r>
      <w:r>
        <w:rPr>
          <w:rFonts w:hint="eastAsia" w:asciiTheme="minorEastAsia" w:hAnsiTheme="minorEastAsia" w:eastAsiaTheme="minorEastAsia" w:cstheme="minorEastAsia"/>
          <w:b w:val="0"/>
          <w:bCs w:val="0"/>
          <w:color w:val="000000"/>
          <w:sz w:val="28"/>
          <w:szCs w:val="28"/>
          <w:lang w:val="en-US" w:eastAsia="zh-CN"/>
        </w:rPr>
        <w:t>8个控制断面</w:t>
      </w:r>
      <w:r>
        <w:rPr>
          <w:rFonts w:hint="eastAsia" w:asciiTheme="minorEastAsia" w:hAnsiTheme="minorEastAsia" w:eastAsiaTheme="minorEastAsia" w:cstheme="minorEastAsia"/>
          <w:color w:val="000000"/>
          <w:sz w:val="28"/>
          <w:szCs w:val="28"/>
        </w:rPr>
        <w:t>水下监测设备所在位置及其周边水面发生明显的漂浮垃圾积聚，</w:t>
      </w:r>
      <w:r>
        <w:rPr>
          <w:rFonts w:hint="eastAsia" w:asciiTheme="minorEastAsia" w:hAnsiTheme="minorEastAsia" w:eastAsiaTheme="minorEastAsia" w:cstheme="minorEastAsia"/>
          <w:color w:val="000000"/>
          <w:sz w:val="28"/>
          <w:szCs w:val="28"/>
          <w:lang w:eastAsia="zh-CN"/>
        </w:rPr>
        <w:t>要求能</w:t>
      </w:r>
      <w:r>
        <w:rPr>
          <w:rFonts w:hint="eastAsia" w:asciiTheme="minorEastAsia" w:hAnsiTheme="minorEastAsia" w:eastAsiaTheme="minorEastAsia" w:cstheme="minorEastAsia"/>
          <w:color w:val="000000"/>
          <w:sz w:val="28"/>
          <w:szCs w:val="28"/>
        </w:rPr>
        <w:t>及时清理干净，且每站清理工作不少于</w:t>
      </w: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rPr>
        <w:t>次</w:t>
      </w:r>
      <w:r>
        <w:rPr>
          <w:rFonts w:hint="eastAsia" w:asciiTheme="minorEastAsia" w:hAnsiTheme="minorEastAsia" w:eastAsiaTheme="minorEastAsia" w:cstheme="minorEastAsia"/>
          <w:color w:val="000000"/>
          <w:sz w:val="28"/>
          <w:szCs w:val="28"/>
          <w:lang w:val="en-US" w:eastAsia="zh-CN"/>
        </w:rPr>
        <w:t>,</w:t>
      </w:r>
      <w:r>
        <w:rPr>
          <w:rFonts w:hint="eastAsia" w:asciiTheme="minorEastAsia" w:hAnsiTheme="minorEastAsia" w:eastAsiaTheme="minorEastAsia" w:cstheme="minorEastAsia"/>
          <w:color w:val="000000"/>
          <w:sz w:val="28"/>
          <w:szCs w:val="28"/>
          <w:lang w:eastAsia="zh-CN"/>
        </w:rPr>
        <w:t>以</w:t>
      </w:r>
      <w:r>
        <w:rPr>
          <w:rFonts w:hint="eastAsia" w:asciiTheme="minorEastAsia" w:hAnsiTheme="minorEastAsia" w:eastAsiaTheme="minorEastAsia" w:cstheme="minorEastAsia"/>
          <w:color w:val="000000"/>
          <w:sz w:val="28"/>
          <w:szCs w:val="28"/>
        </w:rPr>
        <w:t>确保水下、水面监测设备正常运行。此外，东江属于砂质河床，河床</w:t>
      </w:r>
      <w:r>
        <w:rPr>
          <w:rFonts w:hint="eastAsia" w:asciiTheme="minorEastAsia" w:hAnsiTheme="minorEastAsia" w:eastAsiaTheme="minorEastAsia" w:cstheme="minorEastAsia"/>
          <w:color w:val="000000"/>
          <w:sz w:val="28"/>
          <w:szCs w:val="28"/>
          <w:lang w:eastAsia="zh-CN"/>
        </w:rPr>
        <w:t>冲积</w:t>
      </w:r>
      <w:r>
        <w:rPr>
          <w:rFonts w:hint="eastAsia" w:asciiTheme="minorEastAsia" w:hAnsiTheme="minorEastAsia" w:eastAsiaTheme="minorEastAsia" w:cstheme="minorEastAsia"/>
          <w:color w:val="000000"/>
          <w:sz w:val="28"/>
          <w:szCs w:val="28"/>
        </w:rPr>
        <w:t>明显，需要不定期地对测验断面河床进行</w:t>
      </w:r>
      <w:r>
        <w:rPr>
          <w:rFonts w:hint="eastAsia" w:asciiTheme="minorEastAsia" w:hAnsiTheme="minorEastAsia" w:eastAsiaTheme="minorEastAsia" w:cstheme="minorEastAsia"/>
          <w:color w:val="000000"/>
          <w:sz w:val="28"/>
          <w:szCs w:val="28"/>
          <w:lang w:eastAsia="zh-CN"/>
        </w:rPr>
        <w:t>清障</w:t>
      </w:r>
      <w:r>
        <w:rPr>
          <w:rFonts w:hint="eastAsia" w:asciiTheme="minorEastAsia" w:hAnsiTheme="minorEastAsia" w:eastAsiaTheme="minorEastAsia" w:cstheme="minorEastAsia"/>
          <w:color w:val="000000"/>
          <w:sz w:val="28"/>
          <w:szCs w:val="28"/>
        </w:rPr>
        <w:t>作业，保证H-ADCP流量在线监测设备能够正常工作。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测</w:t>
      </w:r>
      <w:r>
        <w:rPr>
          <w:rFonts w:hint="eastAsia" w:asciiTheme="minorEastAsia" w:hAnsiTheme="minorEastAsia" w:eastAsiaTheme="minorEastAsia" w:cstheme="minorEastAsia"/>
          <w:b w:val="0"/>
          <w:bCs w:val="0"/>
          <w:sz w:val="28"/>
          <w:szCs w:val="28"/>
          <w:lang w:eastAsia="zh-CN"/>
        </w:rPr>
        <w:t>量</w:t>
      </w:r>
      <w:r>
        <w:rPr>
          <w:rFonts w:hint="eastAsia" w:asciiTheme="minorEastAsia" w:hAnsiTheme="minorEastAsia" w:eastAsiaTheme="minorEastAsia" w:cstheme="minorEastAsia"/>
          <w:b w:val="0"/>
          <w:bCs w:val="0"/>
          <w:sz w:val="28"/>
          <w:szCs w:val="28"/>
        </w:rPr>
        <w:t>数据的</w:t>
      </w:r>
      <w:r>
        <w:rPr>
          <w:rFonts w:hint="eastAsia" w:asciiTheme="minorEastAsia" w:hAnsiTheme="minorEastAsia" w:eastAsiaTheme="minorEastAsia" w:cstheme="minorEastAsia"/>
          <w:b w:val="0"/>
          <w:bCs w:val="0"/>
          <w:sz w:val="28"/>
          <w:szCs w:val="28"/>
          <w:lang w:eastAsia="zh-CN"/>
        </w:rPr>
        <w:t>监测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b w:val="0"/>
          <w:bCs w:val="0"/>
          <w:color w:val="000000"/>
          <w:sz w:val="28"/>
          <w:szCs w:val="28"/>
          <w:lang w:val="en-US" w:eastAsia="zh-CN"/>
        </w:rPr>
        <w:t>8个控制断面</w:t>
      </w:r>
      <w:r>
        <w:rPr>
          <w:rFonts w:hint="eastAsia" w:asciiTheme="minorEastAsia" w:hAnsiTheme="minorEastAsia" w:eastAsiaTheme="minorEastAsia" w:cstheme="minorEastAsia"/>
          <w:sz w:val="28"/>
          <w:szCs w:val="28"/>
        </w:rPr>
        <w:t>的在线测流数据的可靠性进行</w:t>
      </w:r>
      <w:r>
        <w:rPr>
          <w:rFonts w:hint="eastAsia" w:asciiTheme="minorEastAsia" w:hAnsiTheme="minorEastAsia" w:eastAsiaTheme="minorEastAsia" w:cstheme="minorEastAsia"/>
          <w:sz w:val="28"/>
          <w:szCs w:val="28"/>
          <w:lang w:eastAsia="zh-CN"/>
        </w:rPr>
        <w:t>监测</w:t>
      </w:r>
      <w:r>
        <w:rPr>
          <w:rFonts w:hint="eastAsia" w:asciiTheme="minorEastAsia" w:hAnsiTheme="minorEastAsia" w:eastAsiaTheme="minorEastAsia" w:cstheme="minorEastAsia"/>
          <w:sz w:val="28"/>
          <w:szCs w:val="28"/>
        </w:rPr>
        <w:t>，当数据明显有误时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及时</w:t>
      </w:r>
      <w:r>
        <w:rPr>
          <w:rFonts w:hint="eastAsia" w:asciiTheme="minorEastAsia" w:hAnsiTheme="minorEastAsia" w:eastAsiaTheme="minorEastAsia" w:cstheme="minorEastAsia"/>
          <w:sz w:val="28"/>
          <w:szCs w:val="28"/>
          <w:lang w:eastAsia="zh-CN"/>
        </w:rPr>
        <w:t>处理</w:t>
      </w:r>
      <w:r>
        <w:rPr>
          <w:rFonts w:hint="eastAsia" w:asciiTheme="minorEastAsia" w:hAnsiTheme="minorEastAsia" w:eastAsiaTheme="minorEastAsia" w:cstheme="minorEastAsia"/>
          <w:sz w:val="28"/>
          <w:szCs w:val="28"/>
        </w:rPr>
        <w:t>并通知</w:t>
      </w:r>
      <w:r>
        <w:rPr>
          <w:rFonts w:hint="eastAsia" w:asciiTheme="minorEastAsia" w:hAnsiTheme="minorEastAsia" w:eastAsiaTheme="minorEastAsia" w:cstheme="minorEastAsia"/>
          <w:sz w:val="28"/>
          <w:szCs w:val="28"/>
          <w:lang w:eastAsia="zh-CN"/>
        </w:rPr>
        <w:t>业主方</w:t>
      </w:r>
      <w:r>
        <w:rPr>
          <w:rFonts w:hint="eastAsia" w:asciiTheme="minorEastAsia" w:hAnsiTheme="minorEastAsia" w:eastAsiaTheme="minorEastAsia" w:cstheme="minorEastAsia"/>
          <w:sz w:val="28"/>
          <w:szCs w:val="28"/>
        </w:rPr>
        <w:t>。一般问题应在1～3个工作日内查明原因并修复，确保数据可靠。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5.在线测验设备故障辅助处理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如遇在线测验核心设备故障，设备的维修或更换费用由</w:t>
      </w:r>
      <w:r>
        <w:rPr>
          <w:rFonts w:hint="eastAsia" w:asciiTheme="minorEastAsia" w:hAnsiTheme="minorEastAsia" w:eastAsiaTheme="minorEastAsia" w:cstheme="minorEastAsia"/>
          <w:sz w:val="28"/>
          <w:szCs w:val="28"/>
          <w:lang w:eastAsia="zh-CN"/>
        </w:rPr>
        <w:t>业主方</w:t>
      </w:r>
      <w:r>
        <w:rPr>
          <w:rFonts w:hint="eastAsia" w:asciiTheme="minorEastAsia" w:hAnsiTheme="minorEastAsia" w:eastAsiaTheme="minorEastAsia" w:cstheme="minorEastAsia"/>
          <w:sz w:val="28"/>
          <w:szCs w:val="28"/>
        </w:rPr>
        <w:t>另行负责，但</w:t>
      </w:r>
      <w:r>
        <w:rPr>
          <w:rFonts w:hint="eastAsia" w:asciiTheme="minorEastAsia" w:hAnsiTheme="minorEastAsia" w:eastAsiaTheme="minorEastAsia" w:cstheme="minorEastAsia"/>
          <w:sz w:val="28"/>
          <w:szCs w:val="28"/>
          <w:lang w:eastAsia="zh-CN"/>
        </w:rPr>
        <w:t>运行</w:t>
      </w:r>
      <w:r>
        <w:rPr>
          <w:rFonts w:hint="eastAsia" w:asciiTheme="minorEastAsia" w:hAnsiTheme="minorEastAsia" w:eastAsiaTheme="minorEastAsia" w:cstheme="minorEastAsia"/>
          <w:sz w:val="28"/>
          <w:szCs w:val="28"/>
        </w:rPr>
        <w:t>维护单位需负责故障设备的拆卸以及新设备或维修好后的设备的现场安装调试。</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视频</w:t>
      </w:r>
      <w:r>
        <w:rPr>
          <w:rFonts w:hint="eastAsia" w:asciiTheme="minorEastAsia" w:hAnsiTheme="minorEastAsia" w:eastAsiaTheme="minorEastAsia" w:cstheme="minorEastAsia"/>
          <w:b/>
          <w:bCs/>
          <w:sz w:val="28"/>
          <w:szCs w:val="28"/>
          <w:lang w:val="en-US" w:eastAsia="zh-CN"/>
        </w:rPr>
        <w:t>信息点</w:t>
      </w:r>
      <w:r>
        <w:rPr>
          <w:rFonts w:hint="eastAsia" w:asciiTheme="minorEastAsia" w:hAnsiTheme="minorEastAsia" w:eastAsiaTheme="minorEastAsia" w:cstheme="minorEastAsia"/>
          <w:b/>
          <w:bCs/>
          <w:sz w:val="28"/>
          <w:szCs w:val="28"/>
          <w:lang w:eastAsia="zh-CN"/>
        </w:rPr>
        <w:t>运行</w:t>
      </w:r>
      <w:r>
        <w:rPr>
          <w:rFonts w:hint="eastAsia" w:asciiTheme="minorEastAsia" w:hAnsiTheme="minorEastAsia" w:eastAsiaTheme="minorEastAsia" w:cstheme="minorEastAsia"/>
          <w:b/>
          <w:bCs/>
          <w:sz w:val="28"/>
          <w:szCs w:val="28"/>
        </w:rPr>
        <w:t>维护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对</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个视频</w:t>
      </w:r>
      <w:r>
        <w:rPr>
          <w:rFonts w:hint="eastAsia" w:asciiTheme="minorEastAsia" w:hAnsiTheme="minorEastAsia" w:eastAsiaTheme="minorEastAsia" w:cstheme="minorEastAsia"/>
          <w:sz w:val="28"/>
          <w:szCs w:val="28"/>
          <w:lang w:val="en-US" w:eastAsia="zh-CN"/>
        </w:rPr>
        <w:t>信息采集</w:t>
      </w:r>
      <w:r>
        <w:rPr>
          <w:rFonts w:hint="eastAsia" w:asciiTheme="minorEastAsia" w:hAnsiTheme="minorEastAsia" w:eastAsiaTheme="minorEastAsia" w:cstheme="minorEastAsia"/>
          <w:sz w:val="28"/>
          <w:szCs w:val="28"/>
        </w:rPr>
        <w:t>点的</w:t>
      </w:r>
      <w:r>
        <w:rPr>
          <w:rFonts w:hint="eastAsia" w:asciiTheme="minorEastAsia" w:hAnsiTheme="minorEastAsia" w:eastAsiaTheme="minorEastAsia" w:cstheme="minorEastAsia"/>
          <w:sz w:val="28"/>
          <w:szCs w:val="28"/>
          <w:lang w:eastAsia="zh-CN"/>
        </w:rPr>
        <w:t>运行</w:t>
      </w:r>
      <w:r>
        <w:rPr>
          <w:rFonts w:hint="eastAsia" w:asciiTheme="minorEastAsia" w:hAnsiTheme="minorEastAsia" w:eastAsiaTheme="minorEastAsia" w:cstheme="minorEastAsia"/>
          <w:sz w:val="28"/>
          <w:szCs w:val="28"/>
        </w:rPr>
        <w:t>维护主要包括以下内容：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站点设备供电：按时向供电部门缴纳电费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确保站点的供电线路运行正常。一旦出现断电情况，应及时发现、处理并通知</w:t>
      </w:r>
      <w:r>
        <w:rPr>
          <w:rFonts w:hint="eastAsia" w:asciiTheme="minorEastAsia" w:hAnsiTheme="minorEastAsia" w:eastAsiaTheme="minorEastAsia" w:cstheme="minorEastAsia"/>
          <w:sz w:val="28"/>
          <w:szCs w:val="28"/>
          <w:lang w:eastAsia="zh-CN"/>
        </w:rPr>
        <w:t>业主方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电表或供电总开关之后（含总开关）</w:t>
      </w:r>
      <w:r>
        <w:rPr>
          <w:rFonts w:hint="eastAsia" w:asciiTheme="minorEastAsia" w:hAnsiTheme="minorEastAsia" w:eastAsiaTheme="minorEastAsia" w:cstheme="minorEastAsia"/>
          <w:sz w:val="28"/>
          <w:szCs w:val="28"/>
        </w:rPr>
        <w:t>的供电线路、开关及照明</w:t>
      </w:r>
      <w:r>
        <w:rPr>
          <w:rFonts w:hint="eastAsia" w:asciiTheme="minorEastAsia" w:hAnsiTheme="minorEastAsia" w:eastAsiaTheme="minorEastAsia" w:cstheme="minorEastAsia"/>
          <w:sz w:val="28"/>
          <w:szCs w:val="28"/>
          <w:lang w:eastAsia="zh-CN"/>
        </w:rPr>
        <w:t>等</w:t>
      </w:r>
      <w:r>
        <w:rPr>
          <w:rFonts w:hint="eastAsia" w:asciiTheme="minorEastAsia" w:hAnsiTheme="minorEastAsia" w:eastAsiaTheme="minorEastAsia" w:cstheme="minorEastAsia"/>
          <w:sz w:val="28"/>
          <w:szCs w:val="28"/>
        </w:rPr>
        <w:t>设施故障，</w:t>
      </w:r>
      <w:r>
        <w:rPr>
          <w:rFonts w:hint="eastAsia" w:asciiTheme="minorEastAsia" w:hAnsiTheme="minorEastAsia" w:eastAsiaTheme="minorEastAsia" w:cstheme="minorEastAsia"/>
          <w:sz w:val="28"/>
          <w:szCs w:val="28"/>
          <w:lang w:eastAsia="zh-CN"/>
        </w:rPr>
        <w:t>由服务商负责修复</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电表或总开关之前</w:t>
      </w:r>
      <w:r>
        <w:rPr>
          <w:rFonts w:hint="eastAsia" w:asciiTheme="minorEastAsia" w:hAnsiTheme="minorEastAsia" w:eastAsiaTheme="minorEastAsia" w:cstheme="minorEastAsia"/>
          <w:sz w:val="28"/>
          <w:szCs w:val="28"/>
        </w:rPr>
        <w:t>的供电线路故障，</w:t>
      </w:r>
      <w:r>
        <w:rPr>
          <w:rFonts w:hint="eastAsia" w:asciiTheme="minorEastAsia" w:hAnsiTheme="minorEastAsia" w:eastAsiaTheme="minorEastAsia" w:cstheme="minorEastAsia"/>
          <w:sz w:val="28"/>
          <w:szCs w:val="28"/>
          <w:lang w:eastAsia="zh-CN"/>
        </w:rPr>
        <w:t>由服务商协调</w:t>
      </w:r>
      <w:r>
        <w:rPr>
          <w:rFonts w:hint="eastAsia" w:asciiTheme="minorEastAsia" w:hAnsiTheme="minorEastAsia" w:eastAsiaTheme="minorEastAsia" w:cstheme="minorEastAsia"/>
          <w:sz w:val="28"/>
          <w:szCs w:val="28"/>
        </w:rPr>
        <w:t>供电部门</w:t>
      </w:r>
      <w:r>
        <w:rPr>
          <w:rFonts w:hint="eastAsia" w:asciiTheme="minorEastAsia" w:hAnsiTheme="minorEastAsia" w:eastAsiaTheme="minorEastAsia" w:cstheme="minorEastAsia"/>
          <w:sz w:val="28"/>
          <w:szCs w:val="28"/>
          <w:lang w:eastAsia="zh-CN"/>
        </w:rPr>
        <w:t>或相关责任部门</w:t>
      </w:r>
      <w:r>
        <w:rPr>
          <w:rFonts w:hint="eastAsia" w:asciiTheme="minorEastAsia" w:hAnsiTheme="minorEastAsia" w:eastAsiaTheme="minorEastAsia" w:cstheme="minorEastAsia"/>
          <w:sz w:val="28"/>
          <w:szCs w:val="28"/>
        </w:rPr>
        <w:t>修复。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站点安保：做好视频设备保洁和站点周边环境的协调、安保等工作，一旦发现视频信号中断、设备故障或受损等问题及时通知</w:t>
      </w:r>
      <w:r>
        <w:rPr>
          <w:rFonts w:hint="eastAsia" w:asciiTheme="minorEastAsia" w:hAnsiTheme="minorEastAsia" w:eastAsiaTheme="minorEastAsia" w:cstheme="minorEastAsia"/>
          <w:sz w:val="28"/>
          <w:szCs w:val="28"/>
          <w:lang w:eastAsia="zh-CN"/>
        </w:rPr>
        <w:t>业主方</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0"/>
        <w:rPr>
          <w:rFonts w:hint="eastAsia" w:ascii="黑体" w:hAnsi="黑体" w:eastAsia="黑体" w:cs="黑体"/>
          <w:b w:val="0"/>
          <w:bCs/>
          <w:sz w:val="28"/>
          <w:szCs w:val="28"/>
        </w:rPr>
      </w:pPr>
      <w:r>
        <w:rPr>
          <w:rFonts w:hint="eastAsia" w:ascii="黑体" w:hAnsi="黑体" w:eastAsia="黑体" w:cs="黑体"/>
          <w:b w:val="0"/>
          <w:bCs/>
          <w:sz w:val="28"/>
          <w:szCs w:val="28"/>
        </w:rPr>
        <w:t>四、项目实施及技术要求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sz w:val="28"/>
          <w:szCs w:val="28"/>
        </w:rPr>
        <w:t>东江监控系统</w:t>
      </w:r>
      <w:r>
        <w:rPr>
          <w:rFonts w:hint="eastAsia" w:asciiTheme="minorEastAsia" w:hAnsiTheme="minorEastAsia" w:eastAsiaTheme="minorEastAsia" w:cstheme="minorEastAsia"/>
          <w:kern w:val="28"/>
          <w:sz w:val="28"/>
          <w:szCs w:val="28"/>
        </w:rPr>
        <w:t>控制断面站点</w:t>
      </w:r>
      <w:r>
        <w:rPr>
          <w:rFonts w:hint="eastAsia" w:asciiTheme="minorEastAsia" w:hAnsiTheme="minorEastAsia" w:eastAsiaTheme="minorEastAsia" w:cstheme="minorEastAsia"/>
          <w:kern w:val="28"/>
          <w:sz w:val="28"/>
          <w:szCs w:val="28"/>
          <w:lang w:eastAsia="zh-CN"/>
        </w:rPr>
        <w:t>运行</w:t>
      </w:r>
      <w:r>
        <w:rPr>
          <w:rFonts w:hint="eastAsia" w:asciiTheme="minorEastAsia" w:hAnsiTheme="minorEastAsia" w:eastAsiaTheme="minorEastAsia" w:cstheme="minorEastAsia"/>
          <w:kern w:val="28"/>
          <w:sz w:val="28"/>
          <w:szCs w:val="28"/>
        </w:rPr>
        <w:t>维护</w:t>
      </w:r>
      <w:r>
        <w:rPr>
          <w:rFonts w:hint="eastAsia" w:asciiTheme="minorEastAsia" w:hAnsiTheme="minorEastAsia" w:eastAsiaTheme="minorEastAsia" w:cstheme="minorEastAsia"/>
          <w:sz w:val="28"/>
          <w:szCs w:val="28"/>
        </w:rPr>
        <w:t>服务采购项目涉及的站点分布在整个东江流域3万5千多平方公里范围内，点多、线长、面广，需要服务</w:t>
      </w:r>
      <w:r>
        <w:rPr>
          <w:rFonts w:hint="eastAsia" w:asciiTheme="minorEastAsia" w:hAnsiTheme="minorEastAsia" w:eastAsiaTheme="minorEastAsia" w:cstheme="minorEastAsia"/>
          <w:sz w:val="28"/>
          <w:szCs w:val="28"/>
          <w:lang w:val="en-US" w:eastAsia="zh-CN"/>
        </w:rPr>
        <w:t>商</w:t>
      </w:r>
      <w:r>
        <w:rPr>
          <w:rFonts w:hint="eastAsia" w:asciiTheme="minorEastAsia" w:hAnsiTheme="minorEastAsia" w:eastAsiaTheme="minorEastAsia" w:cstheme="minorEastAsia"/>
          <w:sz w:val="28"/>
          <w:szCs w:val="28"/>
        </w:rPr>
        <w:t>具有丰富的野外分散站点设施安保维护资源和经验。同时，其中</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个水位、流量在线监测站点的H-ADCP流量在线测验设备，以及</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个压力式水位计在线测验设备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运行维护需要服务</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具有专业的水文监测技术和维护经验。</w:t>
      </w:r>
    </w:p>
    <w:p>
      <w:pPr>
        <w:keepNext w:val="0"/>
        <w:keepLines w:val="0"/>
        <w:spacing w:line="480" w:lineRule="exact"/>
        <w:ind w:firstLine="560" w:firstLineChars="200"/>
        <w:rPr>
          <w:rFonts w:hint="eastAsia"/>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当</w:t>
      </w:r>
      <w:r>
        <w:rPr>
          <w:rFonts w:hint="eastAsia" w:asciiTheme="minorEastAsia" w:hAnsiTheme="minorEastAsia" w:eastAsiaTheme="minorEastAsia" w:cstheme="minorEastAsia"/>
          <w:b w:val="0"/>
          <w:bCs w:val="0"/>
          <w:sz w:val="28"/>
          <w:szCs w:val="28"/>
          <w:lang w:eastAsia="zh-CN"/>
        </w:rPr>
        <w:t>站点设备、设施</w:t>
      </w:r>
      <w:r>
        <w:rPr>
          <w:rFonts w:hint="eastAsia" w:asciiTheme="minorEastAsia" w:hAnsiTheme="minorEastAsia" w:eastAsiaTheme="minorEastAsia" w:cstheme="minorEastAsia"/>
          <w:b w:val="0"/>
          <w:bCs w:val="0"/>
          <w:sz w:val="28"/>
          <w:szCs w:val="28"/>
        </w:rPr>
        <w:t>出现故障时，</w:t>
      </w:r>
      <w:r>
        <w:rPr>
          <w:rFonts w:hint="eastAsia" w:asciiTheme="minorEastAsia" w:hAnsiTheme="minorEastAsia" w:eastAsiaTheme="minorEastAsia" w:cstheme="minorEastAsia"/>
          <w:b w:val="0"/>
          <w:bCs w:val="0"/>
          <w:sz w:val="28"/>
          <w:szCs w:val="28"/>
          <w:lang w:eastAsia="zh-CN"/>
        </w:rPr>
        <w:t>服务商</w:t>
      </w:r>
      <w:r>
        <w:rPr>
          <w:rFonts w:hint="eastAsia" w:asciiTheme="minorEastAsia" w:hAnsiTheme="minorEastAsia" w:eastAsiaTheme="minorEastAsia" w:cstheme="minorEastAsia"/>
          <w:b w:val="0"/>
          <w:bCs w:val="0"/>
          <w:sz w:val="28"/>
          <w:szCs w:val="28"/>
          <w:lang w:val="en-US" w:eastAsia="zh-CN"/>
        </w:rPr>
        <w:t>应</w:t>
      </w:r>
      <w:r>
        <w:rPr>
          <w:rFonts w:hint="eastAsia" w:asciiTheme="minorEastAsia" w:hAnsiTheme="minorEastAsia" w:eastAsiaTheme="minorEastAsia" w:cstheme="minorEastAsia"/>
          <w:b w:val="0"/>
          <w:bCs w:val="0"/>
          <w:sz w:val="28"/>
          <w:szCs w:val="28"/>
        </w:rPr>
        <w:t>在</w:t>
      </w:r>
      <w:r>
        <w:rPr>
          <w:rFonts w:hint="eastAsia" w:asciiTheme="minorEastAsia" w:hAnsiTheme="minorEastAsia" w:eastAsiaTheme="minorEastAsia" w:cstheme="minorEastAsia"/>
          <w:b w:val="0"/>
          <w:bCs w:val="0"/>
          <w:sz w:val="28"/>
          <w:szCs w:val="28"/>
          <w:lang w:val="en-US" w:eastAsia="zh-CN"/>
        </w:rPr>
        <w:t>48</w:t>
      </w:r>
      <w:r>
        <w:rPr>
          <w:rFonts w:hint="eastAsia" w:asciiTheme="minorEastAsia" w:hAnsiTheme="minorEastAsia" w:eastAsiaTheme="minorEastAsia" w:cstheme="minorEastAsia"/>
          <w:b w:val="0"/>
          <w:bCs w:val="0"/>
          <w:sz w:val="28"/>
          <w:szCs w:val="28"/>
        </w:rPr>
        <w:t>小时内到达现场检修。当出现因受现场环境影响</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无相应配件更换</w:t>
      </w:r>
      <w:r>
        <w:rPr>
          <w:rFonts w:hint="eastAsia" w:asciiTheme="minorEastAsia" w:hAnsiTheme="minorEastAsia" w:eastAsiaTheme="minorEastAsia" w:cstheme="minorEastAsia"/>
          <w:b w:val="0"/>
          <w:bCs w:val="0"/>
          <w:sz w:val="28"/>
          <w:szCs w:val="28"/>
          <w:lang w:eastAsia="zh-CN"/>
        </w:rPr>
        <w:t>须进行采购、设备故障须返厂维修、须协调多单位共同处理故障</w:t>
      </w:r>
      <w:r>
        <w:rPr>
          <w:rFonts w:hint="eastAsia" w:asciiTheme="minorEastAsia" w:hAnsiTheme="minorEastAsia" w:eastAsiaTheme="minorEastAsia" w:cstheme="minorEastAsia"/>
          <w:b w:val="0"/>
          <w:bCs w:val="0"/>
          <w:sz w:val="28"/>
          <w:szCs w:val="28"/>
        </w:rPr>
        <w:t>等原因导致故障超过</w:t>
      </w:r>
      <w:r>
        <w:rPr>
          <w:rFonts w:hint="eastAsia" w:asciiTheme="minorEastAsia" w:hAnsiTheme="minorEastAsia" w:eastAsiaTheme="minorEastAsia" w:cstheme="minorEastAsia"/>
          <w:b w:val="0"/>
          <w:bCs w:val="0"/>
          <w:sz w:val="28"/>
          <w:szCs w:val="28"/>
          <w:lang w:val="en-US" w:eastAsia="zh-CN"/>
        </w:rPr>
        <w:t>3个工作日</w:t>
      </w:r>
      <w:r>
        <w:rPr>
          <w:rFonts w:hint="eastAsia" w:asciiTheme="minorEastAsia" w:hAnsiTheme="minorEastAsia" w:eastAsiaTheme="minorEastAsia" w:cstheme="minorEastAsia"/>
          <w:b w:val="0"/>
          <w:bCs w:val="0"/>
          <w:sz w:val="28"/>
          <w:szCs w:val="28"/>
        </w:rPr>
        <w:t>不能解决时，</w:t>
      </w:r>
      <w:r>
        <w:rPr>
          <w:rFonts w:hint="eastAsia" w:asciiTheme="minorEastAsia" w:hAnsiTheme="minorEastAsia" w:eastAsiaTheme="minorEastAsia" w:cstheme="minorEastAsia"/>
          <w:b w:val="0"/>
          <w:bCs w:val="0"/>
          <w:sz w:val="28"/>
          <w:szCs w:val="28"/>
          <w:lang w:eastAsia="zh-CN"/>
        </w:rPr>
        <w:t>服务商</w:t>
      </w:r>
      <w:r>
        <w:rPr>
          <w:rFonts w:hint="eastAsia" w:asciiTheme="minorEastAsia" w:hAnsiTheme="minorEastAsia" w:eastAsiaTheme="minorEastAsia" w:cstheme="minorEastAsia"/>
          <w:b w:val="0"/>
          <w:bCs w:val="0"/>
          <w:sz w:val="28"/>
          <w:szCs w:val="28"/>
        </w:rPr>
        <w:t>须及时向业主方</w:t>
      </w:r>
      <w:r>
        <w:rPr>
          <w:rFonts w:hint="eastAsia" w:asciiTheme="minorEastAsia" w:hAnsiTheme="minorEastAsia" w:eastAsiaTheme="minorEastAsia" w:cstheme="minorEastAsia"/>
          <w:b w:val="0"/>
          <w:bCs w:val="0"/>
          <w:sz w:val="28"/>
          <w:szCs w:val="28"/>
          <w:lang w:eastAsia="zh-CN"/>
        </w:rPr>
        <w:t>提交工作联系单</w:t>
      </w:r>
      <w:r>
        <w:rPr>
          <w:rFonts w:hint="eastAsia" w:asciiTheme="minorEastAsia" w:hAnsiTheme="minorEastAsia" w:eastAsiaTheme="minorEastAsia" w:cstheme="minorEastAsia"/>
          <w:b w:val="0"/>
          <w:bCs w:val="0"/>
          <w:sz w:val="28"/>
          <w:szCs w:val="28"/>
        </w:rPr>
        <w:t>汇报</w:t>
      </w:r>
      <w:r>
        <w:rPr>
          <w:rFonts w:hint="eastAsia" w:asciiTheme="minorEastAsia" w:hAnsiTheme="minorEastAsia" w:eastAsiaTheme="minorEastAsia" w:cstheme="minorEastAsia"/>
          <w:b w:val="0"/>
          <w:bCs w:val="0"/>
          <w:sz w:val="28"/>
          <w:szCs w:val="28"/>
          <w:lang w:eastAsia="zh-CN"/>
        </w:rPr>
        <w:t>情况</w:t>
      </w:r>
      <w:r>
        <w:rPr>
          <w:rFonts w:hint="eastAsia" w:asciiTheme="minorEastAsia" w:hAnsiTheme="minorEastAsia" w:eastAsiaTheme="minorEastAsia" w:cstheme="minorEastAsia"/>
          <w:b w:val="0"/>
          <w:bCs w:val="0"/>
          <w:sz w:val="28"/>
          <w:szCs w:val="28"/>
        </w:rPr>
        <w:t>，在得到业主</w:t>
      </w:r>
      <w:r>
        <w:rPr>
          <w:rFonts w:hint="eastAsia" w:asciiTheme="minorEastAsia" w:hAnsiTheme="minorEastAsia" w:eastAsiaTheme="minorEastAsia" w:cstheme="minorEastAsia"/>
          <w:b w:val="0"/>
          <w:bCs w:val="0"/>
          <w:sz w:val="28"/>
          <w:szCs w:val="28"/>
          <w:lang w:eastAsia="zh-CN"/>
        </w:rPr>
        <w:t>方</w:t>
      </w:r>
      <w:r>
        <w:rPr>
          <w:rFonts w:hint="eastAsia" w:asciiTheme="minorEastAsia" w:hAnsiTheme="minorEastAsia" w:eastAsiaTheme="minorEastAsia" w:cstheme="minorEastAsia"/>
          <w:b w:val="0"/>
          <w:bCs w:val="0"/>
          <w:sz w:val="28"/>
          <w:szCs w:val="28"/>
        </w:rPr>
        <w:t>的书面同意后，可延迟相应故障的处理时间。待故障处理完后，</w:t>
      </w:r>
      <w:r>
        <w:rPr>
          <w:rFonts w:hint="eastAsia" w:asciiTheme="minorEastAsia" w:hAnsiTheme="minorEastAsia" w:eastAsiaTheme="minorEastAsia" w:cstheme="minorEastAsia"/>
          <w:b w:val="0"/>
          <w:bCs w:val="0"/>
          <w:sz w:val="28"/>
          <w:szCs w:val="28"/>
          <w:lang w:eastAsia="zh-CN"/>
        </w:rPr>
        <w:t>服务商</w:t>
      </w:r>
      <w:r>
        <w:rPr>
          <w:rFonts w:hint="eastAsia" w:asciiTheme="minorEastAsia" w:hAnsiTheme="minorEastAsia" w:eastAsiaTheme="minorEastAsia" w:cstheme="minorEastAsia"/>
          <w:b w:val="0"/>
          <w:bCs w:val="0"/>
          <w:sz w:val="28"/>
          <w:szCs w:val="28"/>
        </w:rPr>
        <w:t>须将故障的原因、故障处理过程及结果通过书面形式向业主方汇报。</w:t>
      </w:r>
      <w:r>
        <w:rPr>
          <w:rFonts w:hint="eastAsia" w:asciiTheme="minorEastAsia" w:hAnsiTheme="minorEastAsia" w:eastAsiaTheme="minorEastAsia" w:cstheme="minorEastAsia"/>
          <w:b w:val="0"/>
          <w:bCs w:val="0"/>
          <w:sz w:val="28"/>
          <w:szCs w:val="28"/>
          <w:lang w:eastAsia="zh-CN"/>
        </w:rPr>
        <w:t>在未经业主方同意，站点设备、设施</w:t>
      </w:r>
      <w:r>
        <w:rPr>
          <w:rFonts w:hint="eastAsia" w:asciiTheme="minorEastAsia" w:hAnsiTheme="minorEastAsia" w:eastAsiaTheme="minorEastAsia" w:cstheme="minorEastAsia"/>
          <w:b w:val="0"/>
          <w:bCs w:val="0"/>
          <w:sz w:val="28"/>
          <w:szCs w:val="28"/>
        </w:rPr>
        <w:t>故障</w:t>
      </w:r>
      <w:r>
        <w:rPr>
          <w:rFonts w:hint="eastAsia" w:asciiTheme="minorEastAsia" w:hAnsiTheme="minorEastAsia" w:eastAsiaTheme="minorEastAsia" w:cstheme="minorEastAsia"/>
          <w:b w:val="0"/>
          <w:bCs w:val="0"/>
          <w:sz w:val="28"/>
          <w:szCs w:val="28"/>
          <w:lang w:eastAsia="zh-CN"/>
        </w:rPr>
        <w:t>历时超出</w:t>
      </w:r>
      <w:r>
        <w:rPr>
          <w:rFonts w:hint="eastAsia" w:asciiTheme="minorEastAsia" w:hAnsiTheme="minorEastAsia" w:eastAsiaTheme="minorEastAsia" w:cstheme="minorEastAsia"/>
          <w:b w:val="0"/>
          <w:bCs w:val="0"/>
          <w:sz w:val="28"/>
          <w:szCs w:val="28"/>
          <w:lang w:val="en-US" w:eastAsia="zh-CN"/>
        </w:rPr>
        <w:t>3个工作日或可</w:t>
      </w:r>
      <w:r>
        <w:rPr>
          <w:rFonts w:hint="eastAsia" w:asciiTheme="minorEastAsia" w:hAnsiTheme="minorEastAsia" w:eastAsiaTheme="minorEastAsia" w:cstheme="minorEastAsia"/>
          <w:b w:val="0"/>
          <w:bCs w:val="0"/>
          <w:sz w:val="28"/>
          <w:szCs w:val="28"/>
        </w:rPr>
        <w:t>延迟处理时间</w:t>
      </w:r>
      <w:r>
        <w:rPr>
          <w:rFonts w:hint="eastAsia" w:asciiTheme="minorEastAsia" w:hAnsiTheme="minorEastAsia" w:eastAsiaTheme="minorEastAsia" w:cstheme="minorEastAsia"/>
          <w:b w:val="0"/>
          <w:bCs w:val="0"/>
          <w:sz w:val="28"/>
          <w:szCs w:val="28"/>
          <w:lang w:eastAsia="zh-CN"/>
        </w:rPr>
        <w:t>时，</w:t>
      </w:r>
      <w:r>
        <w:rPr>
          <w:rFonts w:hint="eastAsia" w:asciiTheme="minorEastAsia" w:hAnsiTheme="minorEastAsia" w:eastAsiaTheme="minorEastAsia" w:cstheme="minorEastAsia"/>
          <w:b w:val="0"/>
          <w:bCs w:val="0"/>
          <w:sz w:val="28"/>
          <w:szCs w:val="28"/>
        </w:rPr>
        <w:t>从逾期之日起每日按本合同总价</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rPr>
        <w:t>‰的数额向甲方支付违约金</w:t>
      </w:r>
      <w:r>
        <w:rPr>
          <w:rFonts w:hint="eastAsia" w:asciiTheme="minorEastAsia" w:hAnsiTheme="minorEastAsia" w:eastAsiaTheme="minorEastAsia" w:cstheme="minorEastAsia"/>
          <w:b w:val="0"/>
          <w:bCs w:val="0"/>
          <w:sz w:val="28"/>
          <w:szCs w:val="28"/>
          <w:lang w:eastAsia="zh-CN"/>
        </w:rPr>
        <w:t>，此项累计违约金不超过本合同总价的</w:t>
      </w:r>
      <w:r>
        <w:rPr>
          <w:rFonts w:hint="eastAsia" w:asciiTheme="minorEastAsia" w:hAnsiTheme="minorEastAsia" w:eastAsiaTheme="minorEastAsia" w:cstheme="minorEastAsia"/>
          <w:b w:val="0"/>
          <w:bCs w:val="0"/>
          <w:sz w:val="28"/>
          <w:szCs w:val="28"/>
          <w:lang w:val="en-US" w:eastAsia="zh-CN"/>
        </w:rPr>
        <w:t>10%。</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.按水文水资源行业规范进行</w:t>
      </w:r>
      <w:r>
        <w:rPr>
          <w:rFonts w:hint="eastAsia" w:asciiTheme="minorEastAsia" w:hAnsiTheme="minorEastAsia" w:eastAsiaTheme="minorEastAsia" w:cstheme="minorEastAsia"/>
          <w:color w:val="000000"/>
          <w:sz w:val="28"/>
          <w:szCs w:val="28"/>
          <w:lang w:eastAsia="zh-CN"/>
        </w:rPr>
        <w:t>相关文档的</w:t>
      </w:r>
      <w:r>
        <w:rPr>
          <w:rFonts w:hint="eastAsia" w:asciiTheme="minorEastAsia" w:hAnsiTheme="minorEastAsia" w:eastAsiaTheme="minorEastAsia" w:cstheme="minorEastAsia"/>
          <w:color w:val="000000"/>
          <w:sz w:val="28"/>
          <w:szCs w:val="28"/>
        </w:rPr>
        <w:t>编制：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《地表水环境质量标准》(GB3838-2002)；</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《水资源评价导则》(SL/T238-1999)；</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《地表水资源质量评价技术规程》(SL395-2007)；</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《水文资料整编规范》(SL</w:t>
      </w:r>
      <w:r>
        <w:rPr>
          <w:rFonts w:hint="eastAsia" w:asciiTheme="minorEastAsia" w:hAnsiTheme="minorEastAsia" w:eastAsiaTheme="minorEastAsia" w:cstheme="minorEastAsia"/>
          <w:sz w:val="28"/>
          <w:szCs w:val="28"/>
          <w:lang w:val="en-US" w:eastAsia="zh-CN"/>
        </w:rPr>
        <w:t>/T</w:t>
      </w:r>
      <w:r>
        <w:rPr>
          <w:rFonts w:hint="eastAsia" w:asciiTheme="minorEastAsia" w:hAnsiTheme="minorEastAsia" w:eastAsiaTheme="minorEastAsia" w:cstheme="minorEastAsia"/>
          <w:sz w:val="28"/>
          <w:szCs w:val="28"/>
        </w:rPr>
        <w:t>247-20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《水文测量规范》(SL58-2014)；</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《声学多普勒流量测验规范》(SL337-20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w:t>
      </w:r>
    </w:p>
    <w:p>
      <w:pPr>
        <w:keepNext w:val="0"/>
        <w:keepLines w:val="0"/>
        <w:spacing w:line="480" w:lineRule="exact"/>
        <w:ind w:firstLine="552"/>
        <w:rPr>
          <w:rFonts w:hint="default" w:asciiTheme="minorEastAsia" w:hAnsiTheme="minorEastAsia" w:eastAsiaTheme="minorEastAsia" w:cstheme="minorEastAsia"/>
          <w:color w:val="000000"/>
          <w:sz w:val="28"/>
          <w:szCs w:val="28"/>
          <w:lang w:val="en-US" w:eastAsia="zh-CN"/>
        </w:rPr>
      </w:pPr>
      <w:r>
        <w:rPr>
          <w:rFonts w:hint="default" w:asciiTheme="minorEastAsia" w:hAnsiTheme="minorEastAsia" w:eastAsiaTheme="minorEastAsia" w:cstheme="minorEastAsia"/>
          <w:color w:val="000000"/>
          <w:sz w:val="28"/>
          <w:szCs w:val="28"/>
          <w:lang w:val="en-US" w:eastAsia="zh-CN"/>
        </w:rPr>
        <w:t>4.在上一年度运维工作期满后，协助上一年度服务商解决</w:t>
      </w:r>
      <w:r>
        <w:rPr>
          <w:rFonts w:hint="eastAsia" w:asciiTheme="minorEastAsia" w:hAnsiTheme="minorEastAsia" w:eastAsiaTheme="minorEastAsia" w:cstheme="minorEastAsia"/>
          <w:color w:val="000000"/>
          <w:sz w:val="28"/>
          <w:szCs w:val="28"/>
          <w:lang w:val="en-US" w:eastAsia="zh-CN"/>
        </w:rPr>
        <w:t>监测站点</w:t>
      </w:r>
      <w:r>
        <w:rPr>
          <w:rFonts w:hint="default" w:asciiTheme="minorEastAsia" w:hAnsiTheme="minorEastAsia" w:eastAsiaTheme="minorEastAsia" w:cstheme="minorEastAsia"/>
          <w:color w:val="000000"/>
          <w:sz w:val="28"/>
          <w:szCs w:val="28"/>
          <w:lang w:val="en-US" w:eastAsia="zh-CN"/>
        </w:rPr>
        <w:t>所遗留的各种问题，确保项目平稳交接，在此期间产生的费用由上一年度服务商承担。</w:t>
      </w:r>
    </w:p>
    <w:p>
      <w:pPr>
        <w:keepNext w:val="0"/>
        <w:keepLines w:val="0"/>
        <w:spacing w:line="480" w:lineRule="exact"/>
        <w:ind w:firstLine="552"/>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w:t>
      </w:r>
      <w:r>
        <w:rPr>
          <w:rFonts w:hint="default" w:asciiTheme="minorEastAsia" w:hAnsiTheme="minorEastAsia" w:eastAsiaTheme="minorEastAsia" w:cstheme="minorEastAsia"/>
          <w:color w:val="000000"/>
          <w:sz w:val="28"/>
          <w:szCs w:val="28"/>
          <w:lang w:val="en-US" w:eastAsia="zh-CN"/>
        </w:rPr>
        <w:t>协助广东智慧水利工程项目建设，做好与下一年度运维服务商（若有）的交接工作。</w:t>
      </w:r>
    </w:p>
    <w:p>
      <w:pPr>
        <w:keepNext w:val="0"/>
        <w:keepLines w:val="0"/>
        <w:pageBreakBefore w:val="0"/>
        <w:widowControl/>
        <w:kinsoku/>
        <w:wordWrap/>
        <w:overflowPunct/>
        <w:topLinePunct w:val="0"/>
        <w:autoSpaceDE/>
        <w:autoSpaceDN/>
        <w:bidi w:val="0"/>
        <w:adjustRightInd/>
        <w:snapToGrid/>
        <w:spacing w:line="480" w:lineRule="exact"/>
        <w:ind w:firstLine="552" w:firstLineChars="0"/>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lang w:eastAsia="zh-CN"/>
        </w:rPr>
        <w:t>五</w:t>
      </w:r>
      <w:r>
        <w:rPr>
          <w:rFonts w:hint="eastAsia" w:ascii="黑体" w:hAnsi="黑体" w:eastAsia="黑体" w:cs="黑体"/>
          <w:b w:val="0"/>
          <w:bCs/>
          <w:sz w:val="28"/>
          <w:szCs w:val="28"/>
        </w:rPr>
        <w:t>、提交成果要求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每月结束后</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个工作日内，</w:t>
      </w:r>
      <w:r>
        <w:rPr>
          <w:rFonts w:hint="eastAsia" w:asciiTheme="minorEastAsia" w:hAnsiTheme="minorEastAsia" w:eastAsiaTheme="minorEastAsia" w:cstheme="minorEastAsia"/>
          <w:sz w:val="28"/>
          <w:szCs w:val="28"/>
          <w:lang w:eastAsia="zh-CN"/>
        </w:rPr>
        <w:t>提交</w:t>
      </w:r>
      <w:r>
        <w:rPr>
          <w:rFonts w:hint="eastAsia" w:asciiTheme="minorEastAsia" w:hAnsiTheme="minorEastAsia" w:eastAsiaTheme="minorEastAsia" w:cstheme="minorEastAsia"/>
          <w:sz w:val="28"/>
          <w:szCs w:val="28"/>
        </w:rPr>
        <w:t>运行维护总结月报</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color w:val="000000"/>
          <w:sz w:val="28"/>
          <w:szCs w:val="28"/>
        </w:rPr>
        <w:t>共十二期</w:t>
      </w:r>
      <w:r>
        <w:rPr>
          <w:rFonts w:hint="eastAsia" w:asciiTheme="minorEastAsia" w:hAnsiTheme="minorEastAsia" w:eastAsiaTheme="minorEastAsia" w:cstheme="minorEastAsia"/>
          <w:color w:val="000000"/>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lang w:eastAsia="zh-CN"/>
        </w:rPr>
        <w:t>项目服务期结束后</w:t>
      </w:r>
      <w:r>
        <w:rPr>
          <w:rFonts w:hint="eastAsia" w:asciiTheme="minorEastAsia" w:hAnsiTheme="minorEastAsia" w:eastAsiaTheme="minorEastAsia" w:cstheme="minorEastAsia"/>
          <w:color w:val="000000"/>
          <w:sz w:val="28"/>
          <w:szCs w:val="28"/>
          <w:lang w:val="en-US" w:eastAsia="zh-CN"/>
        </w:rPr>
        <w:t>30个工作日内提交以下</w:t>
      </w:r>
      <w:r>
        <w:rPr>
          <w:rFonts w:hint="eastAsia" w:asciiTheme="minorEastAsia" w:hAnsiTheme="minorEastAsia" w:eastAsiaTheme="minorEastAsia" w:cstheme="minorEastAsia"/>
          <w:color w:val="000000"/>
          <w:sz w:val="28"/>
          <w:szCs w:val="28"/>
          <w:lang w:eastAsia="zh-CN"/>
        </w:rPr>
        <w:t>验收材料：</w:t>
      </w:r>
    </w:p>
    <w:p>
      <w:pPr>
        <w:keepNext w:val="0"/>
        <w:keepLines w:val="0"/>
        <w:pageBreakBefore w:val="0"/>
        <w:kinsoku/>
        <w:wordWrap w:val="0"/>
        <w:overflowPunct/>
        <w:topLinePunct w:val="0"/>
        <w:autoSpaceDE/>
        <w:autoSpaceDN/>
        <w:bidi w:val="0"/>
        <w:adjustRightInd/>
        <w:snapToGrid/>
        <w:spacing w:line="480" w:lineRule="exact"/>
        <w:ind w:firstLine="560" w:firstLineChars="200"/>
        <w:textAlignment w:val="auto"/>
        <w:outlineLvl w:val="9"/>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sz w:val="28"/>
          <w:szCs w:val="28"/>
          <w:lang w:eastAsia="zh-CN"/>
        </w:rPr>
        <w:t>运行</w:t>
      </w:r>
      <w:r>
        <w:rPr>
          <w:rFonts w:hint="eastAsia" w:asciiTheme="minorEastAsia" w:hAnsiTheme="minorEastAsia" w:eastAsiaTheme="minorEastAsia" w:cstheme="minorEastAsia"/>
          <w:sz w:val="28"/>
          <w:szCs w:val="28"/>
        </w:rPr>
        <w:t>维护</w:t>
      </w:r>
      <w:r>
        <w:rPr>
          <w:rFonts w:hint="eastAsia" w:asciiTheme="minorEastAsia" w:hAnsiTheme="minorEastAsia" w:eastAsiaTheme="minorEastAsia" w:cstheme="minorEastAsia"/>
          <w:color w:val="auto"/>
          <w:kern w:val="0"/>
          <w:sz w:val="28"/>
          <w:szCs w:val="28"/>
        </w:rPr>
        <w:t>总结报告</w:t>
      </w:r>
      <w:r>
        <w:rPr>
          <w:rFonts w:hint="eastAsia" w:asciiTheme="minorEastAsia" w:hAnsiTheme="minorEastAsia" w:eastAsiaTheme="minorEastAsia" w:cstheme="minorEastAsia"/>
          <w:color w:val="auto"/>
          <w:kern w:val="0"/>
          <w:sz w:val="28"/>
          <w:szCs w:val="28"/>
          <w:lang w:eastAsia="zh-CN"/>
        </w:rPr>
        <w:t>。</w:t>
      </w:r>
    </w:p>
    <w:p>
      <w:pPr>
        <w:keepNext w:val="0"/>
        <w:keepLines w:val="0"/>
        <w:pageBreakBefore w:val="0"/>
        <w:kinsoku/>
        <w:wordWrap w:val="0"/>
        <w:overflowPunct/>
        <w:topLinePunct w:val="0"/>
        <w:autoSpaceDE/>
        <w:autoSpaceDN/>
        <w:bidi w:val="0"/>
        <w:adjustRightInd/>
        <w:snapToGrid/>
        <w:spacing w:line="480" w:lineRule="exact"/>
        <w:ind w:firstLine="560" w:firstLineChars="200"/>
        <w:textAlignment w:val="auto"/>
        <w:outlineLvl w:val="9"/>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color w:val="000000"/>
          <w:kern w:val="0"/>
          <w:sz w:val="28"/>
          <w:szCs w:val="28"/>
          <w:lang w:eastAsia="zh-CN"/>
        </w:rPr>
        <w:t>运行</w:t>
      </w:r>
      <w:r>
        <w:rPr>
          <w:rFonts w:hint="eastAsia" w:asciiTheme="minorEastAsia" w:hAnsiTheme="minorEastAsia" w:eastAsiaTheme="minorEastAsia" w:cstheme="minorEastAsia"/>
          <w:color w:val="000000"/>
          <w:kern w:val="0"/>
          <w:sz w:val="28"/>
          <w:szCs w:val="28"/>
        </w:rPr>
        <w:t>维护年度工作报告</w:t>
      </w:r>
      <w:r>
        <w:rPr>
          <w:rFonts w:hint="eastAsia" w:asciiTheme="minorEastAsia" w:hAnsiTheme="minorEastAsia" w:eastAsiaTheme="minorEastAsia" w:cstheme="minorEastAsia"/>
          <w:color w:val="000000"/>
          <w:kern w:val="0"/>
          <w:sz w:val="28"/>
          <w:szCs w:val="28"/>
          <w:lang w:eastAsia="zh-CN"/>
        </w:rPr>
        <w:t>。</w:t>
      </w:r>
    </w:p>
    <w:p>
      <w:pPr>
        <w:keepNext w:val="0"/>
        <w:keepLines w:val="0"/>
        <w:pageBreakBefore w:val="0"/>
        <w:widowControl/>
        <w:kinsoku/>
        <w:wordWrap w:val="0"/>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lang w:eastAsia="zh-CN"/>
        </w:rPr>
        <w:t>）运行</w:t>
      </w:r>
      <w:r>
        <w:rPr>
          <w:rFonts w:hint="eastAsia" w:asciiTheme="minorEastAsia" w:hAnsiTheme="minorEastAsia" w:eastAsiaTheme="minorEastAsia" w:cstheme="minorEastAsia"/>
          <w:color w:val="000000"/>
          <w:kern w:val="0"/>
          <w:sz w:val="28"/>
          <w:szCs w:val="28"/>
        </w:rPr>
        <w:t>维护工作记录</w:t>
      </w:r>
      <w:r>
        <w:rPr>
          <w:rFonts w:hint="eastAsia" w:asciiTheme="minorEastAsia" w:hAnsiTheme="minorEastAsia" w:eastAsiaTheme="minorEastAsia" w:cstheme="minorEastAsia"/>
          <w:color w:val="000000"/>
          <w:kern w:val="0"/>
          <w:sz w:val="28"/>
          <w:szCs w:val="28"/>
          <w:lang w:eastAsia="zh-CN"/>
        </w:rPr>
        <w:t>。</w:t>
      </w:r>
    </w:p>
    <w:p>
      <w:pPr>
        <w:keepNext w:val="0"/>
        <w:keepLines w:val="0"/>
        <w:pageBreakBefore w:val="0"/>
        <w:kinsoku/>
        <w:wordWrap w:val="0"/>
        <w:overflowPunct/>
        <w:topLinePunct w:val="0"/>
        <w:autoSpaceDE/>
        <w:autoSpaceDN/>
        <w:bidi w:val="0"/>
        <w:adjustRightInd/>
        <w:snapToGrid/>
        <w:spacing w:before="0" w:after="0" w:line="480" w:lineRule="exact"/>
        <w:ind w:firstLine="560" w:firstLineChars="200"/>
        <w:textAlignment w:val="auto"/>
        <w:outlineLvl w:val="9"/>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4</w:t>
      </w:r>
      <w:r>
        <w:rPr>
          <w:rFonts w:hint="eastAsia" w:asciiTheme="minorEastAsia" w:hAnsiTheme="minorEastAsia" w:eastAsiaTheme="minorEastAsia" w:cstheme="minorEastAsia"/>
          <w:color w:val="000000"/>
          <w:kern w:val="0"/>
          <w:sz w:val="28"/>
          <w:szCs w:val="28"/>
          <w:lang w:eastAsia="zh-CN"/>
        </w:rPr>
        <w:t>）运行</w:t>
      </w:r>
      <w:r>
        <w:rPr>
          <w:rFonts w:hint="eastAsia" w:asciiTheme="minorEastAsia" w:hAnsiTheme="minorEastAsia" w:eastAsiaTheme="minorEastAsia" w:cstheme="minorEastAsia"/>
          <w:color w:val="000000"/>
          <w:kern w:val="0"/>
          <w:sz w:val="28"/>
          <w:szCs w:val="28"/>
        </w:rPr>
        <w:t>维护月报（</w:t>
      </w:r>
      <w:r>
        <w:rPr>
          <w:rFonts w:hint="eastAsia" w:asciiTheme="minorEastAsia" w:hAnsiTheme="minorEastAsia" w:eastAsiaTheme="minorEastAsia" w:cstheme="minorEastAsia"/>
          <w:color w:val="000000"/>
          <w:kern w:val="0"/>
          <w:sz w:val="28"/>
          <w:szCs w:val="28"/>
          <w:lang w:eastAsia="zh-CN"/>
        </w:rPr>
        <w:t>装订稿</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eastAsia="zh-CN"/>
        </w:rPr>
        <w:t>。</w:t>
      </w:r>
    </w:p>
    <w:p>
      <w:pPr>
        <w:keepNext w:val="0"/>
        <w:keepLines w:val="0"/>
        <w:pageBreakBefore w:val="0"/>
        <w:kinsoku/>
        <w:wordWrap w:val="0"/>
        <w:overflowPunct/>
        <w:topLinePunct w:val="0"/>
        <w:autoSpaceDE/>
        <w:autoSpaceDN/>
        <w:bidi w:val="0"/>
        <w:adjustRightInd/>
        <w:snapToGrid/>
        <w:spacing w:before="0" w:after="0" w:line="480" w:lineRule="exact"/>
        <w:ind w:firstLine="560" w:firstLineChars="200"/>
        <w:textAlignment w:val="auto"/>
        <w:outlineLvl w:val="9"/>
        <w:rPr>
          <w:rFonts w:hint="eastAsia" w:ascii="宋体" w:hAnsi="宋体"/>
          <w:szCs w:val="21"/>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lang w:eastAsia="zh-CN"/>
        </w:rPr>
        <w:t>）在项目实施过程中所产生的与运行维护工作相关资料（若有）</w:t>
      </w:r>
      <w:r>
        <w:rPr>
          <w:rFonts w:hint="eastAsia" w:asciiTheme="minorEastAsia" w:hAnsiTheme="minorEastAsia" w:eastAsiaTheme="minorEastAsia" w:cstheme="minorEastAsia"/>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right="1280" w:rightChars="400" w:firstLine="0" w:firstLineChars="0"/>
        <w:jc w:val="both"/>
        <w:textAlignment w:val="auto"/>
        <w:rPr>
          <w:rFonts w:hint="eastAsia" w:eastAsia="仿宋_GB2312"/>
          <w:lang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PAGE   \* MERGEFORMAT</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7</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jc w:val="center"/>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PAGE   \* MERGEFORMAT</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7</w:t>
                    </w:r>
                    <w:r>
                      <w:rPr>
                        <w:rFonts w:hint="eastAsia" w:ascii="宋体" w:hAnsi="宋体" w:eastAsia="宋体" w:cs="宋体"/>
                        <w:sz w:val="24"/>
                        <w:szCs w:val="24"/>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等线" w:hAnsi="等线" w:eastAsia="等线"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mRjZWNhYWFkNDE0NzFkNWNjNWIwMjZmMTAwNjIifQ=="/>
  </w:docVars>
  <w:rsids>
    <w:rsidRoot w:val="63823992"/>
    <w:rsid w:val="01161E07"/>
    <w:rsid w:val="01974F33"/>
    <w:rsid w:val="023B4115"/>
    <w:rsid w:val="03F113CD"/>
    <w:rsid w:val="064D4CB8"/>
    <w:rsid w:val="07B116C4"/>
    <w:rsid w:val="09FF563B"/>
    <w:rsid w:val="0C565656"/>
    <w:rsid w:val="115D2A58"/>
    <w:rsid w:val="127A0E31"/>
    <w:rsid w:val="151C1050"/>
    <w:rsid w:val="15D8023E"/>
    <w:rsid w:val="17924BEB"/>
    <w:rsid w:val="17FF2699"/>
    <w:rsid w:val="184F41F9"/>
    <w:rsid w:val="1BEA536B"/>
    <w:rsid w:val="1CFFF327"/>
    <w:rsid w:val="1D2A0A16"/>
    <w:rsid w:val="1D901BB4"/>
    <w:rsid w:val="1EA00037"/>
    <w:rsid w:val="1EBE5F25"/>
    <w:rsid w:val="1ED71228"/>
    <w:rsid w:val="1EF37DEC"/>
    <w:rsid w:val="1FD736B6"/>
    <w:rsid w:val="1FEFF54F"/>
    <w:rsid w:val="1FF381FF"/>
    <w:rsid w:val="2043437A"/>
    <w:rsid w:val="22916507"/>
    <w:rsid w:val="23FB233F"/>
    <w:rsid w:val="271E53ED"/>
    <w:rsid w:val="2731334F"/>
    <w:rsid w:val="2AFD081F"/>
    <w:rsid w:val="2B8E253B"/>
    <w:rsid w:val="2C366852"/>
    <w:rsid w:val="2C591BBE"/>
    <w:rsid w:val="2F85476B"/>
    <w:rsid w:val="2F8A2710"/>
    <w:rsid w:val="2FA46DC8"/>
    <w:rsid w:val="300F0090"/>
    <w:rsid w:val="31E52BB2"/>
    <w:rsid w:val="349F3186"/>
    <w:rsid w:val="34A2170C"/>
    <w:rsid w:val="35690076"/>
    <w:rsid w:val="38FA4EB4"/>
    <w:rsid w:val="3A4500B1"/>
    <w:rsid w:val="3AC9267B"/>
    <w:rsid w:val="3B6A741C"/>
    <w:rsid w:val="3CE55CBF"/>
    <w:rsid w:val="3DDB08A0"/>
    <w:rsid w:val="3E34065A"/>
    <w:rsid w:val="3E704696"/>
    <w:rsid w:val="3F257FAE"/>
    <w:rsid w:val="3F3DEFC5"/>
    <w:rsid w:val="3FFC847D"/>
    <w:rsid w:val="42842F56"/>
    <w:rsid w:val="43F979E2"/>
    <w:rsid w:val="46A3103F"/>
    <w:rsid w:val="47753099"/>
    <w:rsid w:val="48A01149"/>
    <w:rsid w:val="4A693B36"/>
    <w:rsid w:val="4BB52A2E"/>
    <w:rsid w:val="4BFF1403"/>
    <w:rsid w:val="4C351235"/>
    <w:rsid w:val="4D041FAA"/>
    <w:rsid w:val="4D4C3D29"/>
    <w:rsid w:val="4FD7437E"/>
    <w:rsid w:val="4FFF2ACD"/>
    <w:rsid w:val="508109D3"/>
    <w:rsid w:val="5225515D"/>
    <w:rsid w:val="53847755"/>
    <w:rsid w:val="54051DF8"/>
    <w:rsid w:val="541D7341"/>
    <w:rsid w:val="54DF6C18"/>
    <w:rsid w:val="55304F03"/>
    <w:rsid w:val="567AD6AE"/>
    <w:rsid w:val="574302FB"/>
    <w:rsid w:val="57A612EB"/>
    <w:rsid w:val="59971CDB"/>
    <w:rsid w:val="59DB0547"/>
    <w:rsid w:val="5AC84C8D"/>
    <w:rsid w:val="5AE551CA"/>
    <w:rsid w:val="5DC129D2"/>
    <w:rsid w:val="5DF64322"/>
    <w:rsid w:val="5DFD423D"/>
    <w:rsid w:val="5EDDB311"/>
    <w:rsid w:val="5F7573FD"/>
    <w:rsid w:val="5FA99ABB"/>
    <w:rsid w:val="603B70C4"/>
    <w:rsid w:val="60EB25A5"/>
    <w:rsid w:val="63823992"/>
    <w:rsid w:val="66BB1A06"/>
    <w:rsid w:val="66DF19BA"/>
    <w:rsid w:val="69646643"/>
    <w:rsid w:val="6B647671"/>
    <w:rsid w:val="6BFF9777"/>
    <w:rsid w:val="6CB20F09"/>
    <w:rsid w:val="6CEEE909"/>
    <w:rsid w:val="6F1E31E5"/>
    <w:rsid w:val="6F5A41AB"/>
    <w:rsid w:val="6FDF7743"/>
    <w:rsid w:val="71136511"/>
    <w:rsid w:val="7320631A"/>
    <w:rsid w:val="733F2DCC"/>
    <w:rsid w:val="73442C41"/>
    <w:rsid w:val="755F2629"/>
    <w:rsid w:val="757F1738"/>
    <w:rsid w:val="76490942"/>
    <w:rsid w:val="767F45A5"/>
    <w:rsid w:val="776E6EB2"/>
    <w:rsid w:val="79510F59"/>
    <w:rsid w:val="79BF41D9"/>
    <w:rsid w:val="7A282EA3"/>
    <w:rsid w:val="7A2A5450"/>
    <w:rsid w:val="7A975028"/>
    <w:rsid w:val="7A9951E7"/>
    <w:rsid w:val="7BDFD434"/>
    <w:rsid w:val="7BF944C7"/>
    <w:rsid w:val="7C432107"/>
    <w:rsid w:val="7C49396D"/>
    <w:rsid w:val="7DBED888"/>
    <w:rsid w:val="7DFDBAC9"/>
    <w:rsid w:val="7E7FE06D"/>
    <w:rsid w:val="7EBDC5E3"/>
    <w:rsid w:val="7F7A7729"/>
    <w:rsid w:val="7F7D7BA8"/>
    <w:rsid w:val="7FCFA3FF"/>
    <w:rsid w:val="7FDB0A5F"/>
    <w:rsid w:val="7FE7C2E5"/>
    <w:rsid w:val="978D5EFB"/>
    <w:rsid w:val="A5F72B4D"/>
    <w:rsid w:val="A7FD0BCA"/>
    <w:rsid w:val="ABBF3490"/>
    <w:rsid w:val="B7FF0799"/>
    <w:rsid w:val="BAFF93BF"/>
    <w:rsid w:val="BB7BEC7A"/>
    <w:rsid w:val="BBF7A1C4"/>
    <w:rsid w:val="BEB5B6DA"/>
    <w:rsid w:val="BFBF4844"/>
    <w:rsid w:val="BFFF613C"/>
    <w:rsid w:val="CFAA174F"/>
    <w:rsid w:val="CFDF4CC4"/>
    <w:rsid w:val="CFEC9364"/>
    <w:rsid w:val="CFF4A526"/>
    <w:rsid w:val="D7D3861C"/>
    <w:rsid w:val="DBF663BA"/>
    <w:rsid w:val="DDBE4DC9"/>
    <w:rsid w:val="DE6577A0"/>
    <w:rsid w:val="DF9D09D8"/>
    <w:rsid w:val="DFCFD601"/>
    <w:rsid w:val="DFEEBA97"/>
    <w:rsid w:val="EA2F72C9"/>
    <w:rsid w:val="EADE9D80"/>
    <w:rsid w:val="EE730600"/>
    <w:rsid w:val="EFB3793C"/>
    <w:rsid w:val="F3BE0ED8"/>
    <w:rsid w:val="FAD73C23"/>
    <w:rsid w:val="FBB7ED5A"/>
    <w:rsid w:val="FD1D53AA"/>
    <w:rsid w:val="FDEA1011"/>
    <w:rsid w:val="FDF2363C"/>
    <w:rsid w:val="FE7747D6"/>
    <w:rsid w:val="FEF75620"/>
    <w:rsid w:val="FEFCF4C9"/>
    <w:rsid w:val="FF7F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1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0" w:beforeLines="0" w:after="0" w:afterLines="0" w:line="560" w:lineRule="exact"/>
      <w:ind w:firstLine="880" w:firstLineChars="200"/>
      <w:outlineLvl w:val="0"/>
    </w:pPr>
    <w:rPr>
      <w:rFonts w:eastAsia="黑体" w:cs="Times New Roman"/>
      <w:kern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楷体_GB2312" w:hAnsi="楷体_GB2312" w:eastAsia="楷体_GB2312"/>
      <w:b/>
    </w:rPr>
  </w:style>
  <w:style w:type="paragraph" w:styleId="2">
    <w:name w:val="heading 3"/>
    <w:basedOn w:val="1"/>
    <w:next w:val="1"/>
    <w:link w:val="16"/>
    <w:unhideWhenUsed/>
    <w:qFormat/>
    <w:uiPriority w:val="0"/>
    <w:pPr>
      <w:keepNext/>
      <w:keepLines/>
      <w:spacing w:beforeLines="0" w:beforeAutospacing="0" w:afterLines="0" w:afterAutospacing="0" w:line="560" w:lineRule="exact"/>
      <w:ind w:firstLine="880" w:firstLineChars="200"/>
      <w:outlineLvl w:val="2"/>
    </w:pPr>
    <w:rPr>
      <w:rFonts w:ascii="仿宋_GB2312" w:hAnsi="仿宋_GB2312" w:eastAsia="仿宋_GB2312"/>
      <w:b/>
      <w:sz w:val="32"/>
    </w:rPr>
  </w:style>
  <w:style w:type="paragraph" w:styleId="5">
    <w:name w:val="heading 4"/>
    <w:basedOn w:val="1"/>
    <w:next w:val="1"/>
    <w:unhideWhenUsed/>
    <w:qFormat/>
    <w:uiPriority w:val="0"/>
    <w:pPr>
      <w:keepNext/>
      <w:keepLines/>
      <w:spacing w:beforeLines="0" w:beforeAutospacing="0" w:afterLines="0" w:afterAutospacing="0" w:line="560" w:lineRule="exact"/>
      <w:ind w:firstLine="880" w:firstLineChars="200"/>
      <w:outlineLvl w:val="3"/>
    </w:pPr>
    <w:rPr>
      <w:rFonts w:ascii="仿宋_GB2312" w:hAnsi="仿宋_GB2312" w:eastAsia="仿宋_GB2312"/>
      <w:sz w:val="32"/>
    </w:rPr>
  </w:style>
  <w:style w:type="paragraph" w:styleId="6">
    <w:name w:val="heading 5"/>
    <w:basedOn w:val="1"/>
    <w:next w:val="1"/>
    <w:unhideWhenUsed/>
    <w:qFormat/>
    <w:uiPriority w:val="0"/>
    <w:pPr>
      <w:keepNext/>
      <w:keepLines/>
      <w:spacing w:beforeLines="0" w:beforeAutospacing="0" w:afterLines="0" w:afterAutospacing="0" w:line="560" w:lineRule="exact"/>
      <w:ind w:firstLine="880" w:firstLineChars="200"/>
      <w:outlineLvl w:val="4"/>
    </w:pPr>
    <w:rPr>
      <w:rFonts w:ascii="仿宋_GB2312" w:hAnsi="仿宋_GB2312" w:eastAsia="仿宋_GB2312"/>
      <w:sz w:val="32"/>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qFormat/>
    <w:uiPriority w:val="0"/>
    <w:pPr>
      <w:spacing w:after="120" w:afterLines="0" w:afterAutospacing="0"/>
    </w:pPr>
  </w:style>
  <w:style w:type="paragraph" w:styleId="9">
    <w:name w:val="Body Text Indent"/>
    <w:basedOn w:val="1"/>
    <w:qFormat/>
    <w:uiPriority w:val="0"/>
    <w:pPr>
      <w:ind w:firstLine="540"/>
    </w:pPr>
    <w:rPr>
      <w:kern w:val="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9"/>
    <w:next w:val="1"/>
    <w:qFormat/>
    <w:uiPriority w:val="0"/>
    <w:pPr>
      <w:ind w:firstLine="420" w:firstLine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3 Char"/>
    <w:link w:val="2"/>
    <w:qFormat/>
    <w:uiPriority w:val="0"/>
    <w:rPr>
      <w:rFonts w:ascii="仿宋_GB2312" w:hAnsi="仿宋_GB2312" w:eastAsia="仿宋_GB2312"/>
      <w:b/>
      <w:sz w:val="32"/>
    </w:rPr>
  </w:style>
  <w:style w:type="paragraph" w:customStyle="1" w:styleId="1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Body Text First Indent 21"/>
    <w:basedOn w:val="19"/>
    <w:qFormat/>
    <w:uiPriority w:val="0"/>
    <w:pPr>
      <w:spacing w:line="360" w:lineRule="auto"/>
    </w:pPr>
    <w:rPr>
      <w:rFonts w:eastAsia="宋体"/>
      <w:sz w:val="24"/>
    </w:rPr>
  </w:style>
  <w:style w:type="paragraph" w:customStyle="1" w:styleId="19">
    <w:name w:val="Body Text Indent1"/>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45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2024-03-07T08:45:00Z</dcterms:created>
  <dc:creator>龙伟丽</dc:creator>
  <cp:lastModifiedBy>唐诗</cp:lastModifiedBy>
  <cp:lastPrinted>2024-04-22T09:10:00Z</cp:lastPrinted>
  <dcterms:modified xsi:type="dcterms:W3CDTF">2024-04-23T02:19:19Z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4D25390B85D923BB58152666522BBCA7</vt:lpwstr>
  </property>
</Properties>
</file>