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/>
          <w:snapToGrid w:val="0"/>
          <w:sz w:val="30"/>
          <w:szCs w:val="30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2021年省级水资源节约与保护</w:t>
      </w:r>
    </w:p>
    <w:p>
      <w:pPr>
        <w:spacing w:line="572" w:lineRule="exact"/>
        <w:jc w:val="center"/>
        <w:rPr>
          <w:rFonts w:hint="eastAsia"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专项资金项目申报指南</w:t>
      </w:r>
    </w:p>
    <w:p>
      <w:pPr>
        <w:spacing w:line="572" w:lineRule="exact"/>
        <w:ind w:firstLine="640"/>
        <w:jc w:val="center"/>
        <w:rPr>
          <w:rFonts w:eastAsia="黑体"/>
          <w:snapToGrid w:val="0"/>
          <w:sz w:val="44"/>
          <w:szCs w:val="44"/>
        </w:rPr>
      </w:pPr>
    </w:p>
    <w:p>
      <w:pPr>
        <w:spacing w:line="572" w:lineRule="exact"/>
        <w:ind w:firstLine="640" w:firstLineChars="200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为加强广东省省级水资源节约与保护专项资金(以下简称“节保专项资金”)项目的申报及管理，根据《广东省人民政府关于印发广东省省级财政专项资金管理办法（试行）的通知》（粤府〔2018〕120号）及省政府有关批复，结合我省水资源节约与保护工作实际，制定本申报指南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一、目的意义和绩效目标</w:t>
      </w:r>
    </w:p>
    <w:p>
      <w:pPr>
        <w:spacing w:line="572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加强水资源节约与保护，是贯彻落实习近平新时代中国特色社会主义思想、</w:t>
      </w:r>
      <w:bookmarkStart w:id="1" w:name="_GoBack"/>
      <w:r>
        <w:rPr>
          <w:rFonts w:hint="eastAsia" w:eastAsia="仿宋_GB2312"/>
          <w:sz w:val="32"/>
          <w:szCs w:val="32"/>
          <w:lang w:eastAsia="zh-CN"/>
        </w:rPr>
        <w:t>习近平</w:t>
      </w:r>
      <w:r>
        <w:rPr>
          <w:rFonts w:eastAsia="仿宋_GB2312"/>
          <w:sz w:val="32"/>
          <w:szCs w:val="32"/>
        </w:rPr>
        <w:t>生态文明思想</w:t>
      </w:r>
      <w:bookmarkEnd w:id="1"/>
      <w:r>
        <w:rPr>
          <w:rFonts w:eastAsia="仿宋_GB2312"/>
          <w:sz w:val="32"/>
          <w:szCs w:val="32"/>
        </w:rPr>
        <w:t>和“节水优先、空间均衡、系统治理、两手发力”新时代治水思路的重要举措，是贯彻</w:t>
      </w:r>
      <w:r>
        <w:rPr>
          <w:rFonts w:eastAsia="仿宋_GB2312"/>
          <w:bCs/>
          <w:sz w:val="32"/>
          <w:szCs w:val="32"/>
        </w:rPr>
        <w:t>总书记“3·14”重要讲话精神，贯彻党的十九届四中、五中全会精神和落实</w:t>
      </w:r>
      <w:r>
        <w:rPr>
          <w:rFonts w:eastAsia="仿宋_GB2312"/>
          <w:sz w:val="32"/>
          <w:szCs w:val="32"/>
        </w:rPr>
        <w:t>十九大提出的节约优先、保护优先、自然恢复为主方针</w:t>
      </w:r>
      <w:r>
        <w:rPr>
          <w:rFonts w:eastAsia="仿宋_GB2312"/>
          <w:bCs/>
          <w:sz w:val="32"/>
          <w:szCs w:val="32"/>
        </w:rPr>
        <w:t>的重要体现，是落实2021年全国水利工作会议精神，深入践行“水利工程补短板、水利行业强监管”水利改革发展总基调的重要抓手，对促进水资源合理开发利用和节约保护，落实水资源刚性约束，加强水资源监督管理，推动经济转型升级，促进生态保护和高质量发展等具有重要意义。设立节保专项资金，通过节约用水管理、水资源保护和取用水监管等措施，将切实提升我省水资源管理能力，有效</w:t>
      </w:r>
      <w:r>
        <w:rPr>
          <w:rFonts w:eastAsia="仿宋_GB2312"/>
          <w:spacing w:val="-6"/>
          <w:sz w:val="32"/>
          <w:szCs w:val="32"/>
        </w:rPr>
        <w:t>落实最严格水资源管理制度，促进生态文明建设和我省河湖秀水长清。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二、项目类别及评审方式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重点针对国家、水利部及省委、省政府近期布置开展的水资源节约与保护重点工作，特别是落实国家实行最严格水资源管理制度考核相关工作任务，组织申报一批项目，经专家评审后列入项目库。2021年项目将根据年度资金安排规模从项目库中筛选产生。申报项目类别如下：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（一）节约用水管理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节水监督管理。包括重点监控用水单位节水监督管理，计划用水和用水定额的执行应用，开展日常节水监督检查等。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节水型社会建设。包括公共机构（机关单位、高校、医院）、酒店、企业、工业园区等节水载体建设，在用水产品、用水企业、灌区、公共机构和节水型城市开展水效领跑者引领行动，县域节水型社会达标建设等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节水制度标准研究。包括节水法规制度建设，节水规划编制，节水标准体系制定，非常规水源利用及研究等。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节水宣传教育。包括节水公益宣传片制作，节水标志征集，节水公民行为规范制定，节水教育基地建设，节水宣传活动开展等。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（二）水资源保护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水生态管理。</w:t>
      </w:r>
      <w:r>
        <w:rPr>
          <w:rStyle w:val="5"/>
          <w:color w:val="333333"/>
          <w:szCs w:val="32"/>
        </w:rPr>
        <w:t>生态流量确定与管理</w:t>
      </w:r>
      <w:r>
        <w:rPr>
          <w:rFonts w:eastAsia="仿宋_GB2312"/>
          <w:color w:val="333333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包括</w:t>
      </w:r>
      <w:r>
        <w:rPr>
          <w:rFonts w:eastAsia="仿宋_GB2312"/>
          <w:color w:val="333333"/>
          <w:sz w:val="32"/>
          <w:szCs w:val="32"/>
        </w:rPr>
        <w:t>制定河湖生态流量保障目标及实施方案，制定相应管控措施制度，建立生态流量监测体系</w:t>
      </w:r>
      <w:r>
        <w:rPr>
          <w:rFonts w:eastAsia="仿宋_GB2312"/>
          <w:sz w:val="32"/>
          <w:szCs w:val="32"/>
        </w:rPr>
        <w:t>等。建立河湖生态保护补偿制度，包括制定以重要水源地、水生态敏感区、水土流失重点预防区和重点治理区、江河重要蓄滞洪区、重要河流险工险段为重点的河湖生态保护补偿办法。水资源保护、水利助力污染防治攻坚、河湖水生态管理相关研究及任务落实。水资源质量及水生态信息编制与发布，包括建立编制水资源质量及水生态监测年报制度，完善信息收集、统计、共享及发布机制等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饮用水水源保护。针对水利部确定的我省全国重要饮用水水源地，落实安全保障达标建设相关要求的管理和保护措施</w:t>
      </w:r>
      <w:r>
        <w:rPr>
          <w:rFonts w:eastAsia="仿宋_GB2312"/>
          <w:spacing w:val="-6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饮用水水源保护管理相关研究及任务落实。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地下水管理。包括推进地下水监测统计，分析评价与严管控等，以及湛江市地下水超采区综合治理，含年度工作方案编制、地下水压采目标任务落实及监督管理；地面沉降区和海水入侵区管理。地面沉降区和海水入侵区核查，地下水压采方案编制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水资源应急管理。应急备用水源建设管理，包括应急备用水源规划编制，以及应急备用水源建设的调查评价及监督管理。河湖蓝藻水华监控管理。水利应对重大突发水污染事件管理，包括建立与完善水利应急管理（含事件报告）机制、监测预警机制，编制水利相应应急预案等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（三）取用水监管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水量分配与调度。包括跨县、市江河流域水量分配方案编制，水量调度计划或方案编制，实施流域水量调度。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规范取水许可管理。包括取水许可延续评估管理、取水验收管理、取水许可制度建设。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取水行为规范管理。包括取水计量设施管理，取用水动态监管，取用水专项整治行动整改提升工作。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取用水统计管理。包括用水统计调查制度实施及工作机制建立、水资源公报、水资源管理年报编制。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实行最严格水资源管理制度考核。包括考核制度建设、技术支撑、日常管理等。</w:t>
      </w:r>
    </w:p>
    <w:p>
      <w:pPr>
        <w:spacing w:line="572" w:lineRule="exact"/>
        <w:ind w:firstLine="640" w:firstLineChars="200"/>
        <w:rPr>
          <w:rFonts w:eastAsia="仿宋_GB2312"/>
          <w:color w:val="0000FF"/>
          <w:sz w:val="32"/>
          <w:szCs w:val="32"/>
        </w:rPr>
      </w:pPr>
      <w:r>
        <w:rPr>
          <w:rFonts w:eastAsia="仿宋_GB2312"/>
          <w:sz w:val="32"/>
          <w:szCs w:val="32"/>
        </w:rPr>
        <w:t>6. 水权制度建设。包括水权交易体系、水权确权机制、水权有偿配置、水权交易激励机制等。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三、申报原则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（一）突出重点</w:t>
      </w:r>
    </w:p>
    <w:p>
      <w:pPr>
        <w:spacing w:line="572" w:lineRule="exact"/>
        <w:ind w:firstLine="640" w:firstLineChars="200"/>
        <w:rPr>
          <w:rFonts w:eastAsia="仿宋_GB2312"/>
          <w:szCs w:val="28"/>
        </w:rPr>
      </w:pPr>
      <w:r>
        <w:rPr>
          <w:rFonts w:eastAsia="仿宋_GB2312"/>
          <w:sz w:val="32"/>
          <w:szCs w:val="32"/>
        </w:rPr>
        <w:t>2021年度项目申报应依照事权与财权相匹配原则，严格依据年度申报项目类别进行申报，不在此类别的申报项目将不予受理。符合申报项目类别条件，项目受益范围在粤港澳大湾区、粤北生态特别保护区、革命老区、原中央苏区、国家和省重点水资源配置工程水资源调出区域、省领导同志指示批示与水资源、水生态环境相关的重要干支流和重点水库区域、国家重要饮用水水源地的项目优先考虑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（二）专款专用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项目经费的使用要符合国家有关财务制度规定，严禁截留、占用、挪用。属于政府采购范围的，应当按照政府采购制度的有关规定执行。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四、申报条件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（一）符合国家、省和地方产业政策，项目具有一定的经济、社会、环境和生态效益。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节约用水类项目要达到一定的节水效果，具有一定的推广示范作用；水资源保护类项目实施后，能够提高水源地安全保障水平，改善水生态环境；取用水监管类项目要针对管理薄弱环节，提升水资源管理能力，提高管理水平，促进落实最严格水资源管理制度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（三）申报项目实施主体明确，一个项目一申报。列入基本建设程序的工程项目，应符合基本建设程序的有关规定。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五、申报补助额度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按照财政过紧日子的精神，2021年度项目补助金额控制在100万以下。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六、申报程序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本专项资金实行行业主管部门逐级申报制度。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（一）市、县单位申报程序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按照项目承担单位隶属关系，地市、</w:t>
      </w:r>
      <w:r>
        <w:rPr>
          <w:rFonts w:eastAsia="仿宋_GB2312"/>
          <w:sz w:val="32"/>
          <w:szCs w:val="32"/>
        </w:rPr>
        <w:t>有关财政省直管</w:t>
      </w:r>
      <w:r>
        <w:rPr>
          <w:rFonts w:eastAsia="仿宋_GB2312"/>
          <w:spacing w:val="-6"/>
          <w:sz w:val="32"/>
          <w:szCs w:val="32"/>
        </w:rPr>
        <w:t>县（市、区）水行政主管部门填报项目申报材料，逐级上报省水利厅，并抄送同级财政部门。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（二）省直机关单位及中央驻穗有关单位申报程序</w:t>
      </w:r>
    </w:p>
    <w:p>
      <w:pPr>
        <w:spacing w:line="572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符合条件的省直机关单位、中央驻穗有关单位可直接行文，向省水利厅提出申请。省属企事业单位可通过对口省直机关申报。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七、申报要求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（一）限额申报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2021年度各地级以上市（含财政省直管县（市））可申报不超过1个项目；省直机关单位</w:t>
      </w:r>
      <w:r>
        <w:rPr>
          <w:rFonts w:eastAsia="楷体_GB2312"/>
          <w:sz w:val="32"/>
          <w:szCs w:val="32"/>
        </w:rPr>
        <w:t>及中央驻穗有关单位</w:t>
      </w:r>
      <w:r>
        <w:rPr>
          <w:rFonts w:eastAsia="仿宋_GB2312"/>
          <w:sz w:val="32"/>
          <w:szCs w:val="32"/>
        </w:rPr>
        <w:t>申报不超过2个项目。凡超额申报的，一律不予受理。2018年度及以前已安排水资源节约与保护项目省级补助资金，但未完成任务的单位不得申报2021年度项目。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库实行动态管理。每年度按相关规定和流程认定的项目纳入项目库动态管理。入库超过三年的项目自动退出；项目往年已安排节保专项资金的，我厅负责从已有项目库中退出该项目；项目通过其它财政渠道安排了资金的，或者项目单位认为该项目可从项目库退出的，由项目单位书面函告我厅，我厅负责从已有项目库中退出该项目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（二）申报时间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项目申报材料于2021年2月28日前上报省水利厅（水资源管理处）。申报材料以签收时间为准，逾期不再受理。</w:t>
      </w:r>
    </w:p>
    <w:p>
      <w:pPr>
        <w:spacing w:line="572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（三）材料内容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项目申报材料需装订成册，主要包括项目申报文本、项目实施方案、申报项目资金的文件、政策依据证明文件（如国家或省布置开展的水资源节约保护重点工作）、项目立项论证文件（按“粤财预〔2018〕263号”执行）等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项目实施方案内容应包括但不限于：项目概况、项目实施的必要性（含政策依据）、项目实施的技术路线及具体内容、项目实施的进度安排、项目预期的绩效（产出、成本、经济效益、社会效益、生态效益、可持续影响等）、项目经费预算（申报资料应提交详细的经费预算，项目预算的各项支出要详细说明主要用途及资金需求，及与项目的相关性，支出范围、用款单位（能实现省财政资金划拨的单位）</w:t>
      </w:r>
      <w:r>
        <w:rPr>
          <w:rFonts w:eastAsia="仿宋_GB2312"/>
          <w:color w:val="0000FF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测算依据和测算过程）等章节。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3.申报材料一式10份，电子材料一并发送至slt_szy@gd.gov.cn，电子材料未发送者一律不得参与评审。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八、审核要求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（一）地市水行政主管部门负责对申报材料进行合规性审核，审核所报项目及所附相关证明材料的真实性、完整性和可行性，必须对相关证明材料进行核对，核对无误后加盖公章。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（二）省直机关单位、</w:t>
      </w:r>
      <w:r>
        <w:rPr>
          <w:rFonts w:eastAsia="仿宋_GB2312"/>
          <w:spacing w:val="-6"/>
          <w:sz w:val="32"/>
          <w:szCs w:val="32"/>
        </w:rPr>
        <w:t>中央驻穗有关单位</w:t>
      </w:r>
      <w:r>
        <w:rPr>
          <w:rFonts w:eastAsia="仿宋_GB2312"/>
          <w:sz w:val="32"/>
          <w:szCs w:val="32"/>
        </w:rPr>
        <w:t>由申报单位负责审核所报项目及所附相关证明材料的真实性、完整性、可行性和合规性。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九、项目管理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资金实行竞争性分配，按照“公开申报、公平竞争、专家评审、择优支持”的原则，由省水利厅按照财政资金竞争性分配有关要求，组织专家对申报项目进行评审，根据评审结果研究确定列入项目库的项目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（二）项目申报单位不应存在多头申报情况，要如实填报项目申请事项，并对申报材料的真实性负责；发现提供虚假材料的，取消当年参评资格和往后3年申报资格。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（三）项目资金下达后，各单位应加快支付；结转两年以上的，收回财政统筹使用。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项目资金下达后，各申报单位应于20个工作日内上报项目具体实施方案备案。其中，地方项目分别上报至项目所属地级以上市水务局和财政局备案；省属项目分别上报至省水利厅和省财政厅备案。实施方案中项目工作内容应与项目申报材料相统一并进行细化，项目概算不得超过申报时的项目总投资。项目承担单位要严格遵守有关法律法规，按照项目建设管理有关规定，组织项目实施，确保如期完成项目建设任务和资金使用安全，并自觉接受政府有关部门的监督检查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项目验收由水利部门组织。其中：地方项目由所属地级以上市水务局组织验收；省属项目由我厅组织验收。验收主要内容包括：项目合同、项目申报时的实施方案、立项文件或批复文件、项目组织领导、项目任务完成情况及工作总结、项目质量、项目管理、资金投入和使用情况、项目档案等方面。工程类项目可参考工程项目验收管理有关规定程序验收；非工程类项目应在准备好验收主要内容材料的基础上，编写项目完成情况报告、资金使用报告等，召开专家评审会进行验收。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十、联系人及电话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省水利厅：金纬昊，020-38356432，13776626290；传真：020-38356037</w:t>
      </w:r>
    </w:p>
    <w:p>
      <w:pPr>
        <w:spacing w:line="572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十一、其它事项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（一）本指南由省水利厅解释。</w:t>
      </w:r>
    </w:p>
    <w:p>
      <w:pPr>
        <w:spacing w:line="572" w:lineRule="exact"/>
        <w:ind w:firstLine="640" w:firstLineChars="200"/>
      </w:pPr>
      <w:r>
        <w:rPr>
          <w:rFonts w:eastAsia="仿宋_GB2312"/>
          <w:sz w:val="32"/>
          <w:szCs w:val="32"/>
        </w:rPr>
        <w:t>（二）本指南自印发之日起执行。</w:t>
      </w:r>
    </w:p>
    <w:p>
      <w:pPr>
        <w:spacing w:line="572" w:lineRule="exact"/>
        <w:ind w:firstLine="640" w:firstLineChars="200"/>
        <w:rPr>
          <w:rFonts w:eastAsia="仿宋_GB2312"/>
          <w:sz w:val="32"/>
        </w:rPr>
      </w:pPr>
    </w:p>
    <w:p>
      <w:pPr>
        <w:spacing w:line="572" w:lineRule="exact"/>
        <w:rPr>
          <w:rFonts w:eastAsia="仿宋_GB2312"/>
          <w:sz w:val="32"/>
          <w:szCs w:val="32"/>
        </w:rPr>
      </w:pPr>
    </w:p>
    <w:p>
      <w:pPr>
        <w:spacing w:line="572" w:lineRule="exact"/>
        <w:rPr>
          <w:rFonts w:eastAsia="仿宋_GB2312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  <w:bookmarkStart w:id="0" w:name="fwjg"/>
      <w:bookmarkEnd w:id="0"/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72" w:lineRule="exact"/>
        <w:rPr>
          <w:rFonts w:hint="eastAsia"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A2482"/>
    <w:rsid w:val="4C297C56"/>
    <w:rsid w:val="5A74338D"/>
    <w:rsid w:val="6D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21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"/>
    <w:basedOn w:val="1"/>
    <w:link w:val="3"/>
    <w:qFormat/>
    <w:uiPriority w:val="0"/>
    <w:rPr>
      <w:rFonts w:ascii="Times New Roman" w:hAnsi="Times New Roman" w:eastAsia="仿宋_GB2312"/>
      <w:sz w:val="32"/>
      <w:szCs w:val="21"/>
    </w:rPr>
  </w:style>
  <w:style w:type="character" w:styleId="5">
    <w:name w:val="Strong"/>
    <w:qFormat/>
    <w:uiPriority w:val="0"/>
    <w:rPr>
      <w:rFonts w:ascii="Times New Roman" w:hAnsi="Times New Roman" w:eastAsia="仿宋_GB2312"/>
      <w:b/>
      <w:sz w:val="32"/>
      <w:szCs w:val="21"/>
    </w:rPr>
  </w:style>
  <w:style w:type="character" w:styleId="6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唐诗</cp:lastModifiedBy>
  <dcterms:modified xsi:type="dcterms:W3CDTF">2024-04-16T07:18:30Z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