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2" w:lineRule="exact"/>
        <w:jc w:val="right"/>
        <w:rPr>
          <w:rFonts w:ascii="Times New Roman" w:hAnsi="Times New Roman" w:eastAsia="仿宋_GB2312"/>
          <w:sz w:val="32"/>
          <w:szCs w:val="32"/>
        </w:rPr>
      </w:pPr>
      <w:bookmarkStart w:id="0" w:name="wh"/>
      <w:r>
        <w:rPr>
          <w:rFonts w:ascii="Times New Roman" w:hAnsi="Times New Roman" w:eastAsia="仿宋_GB2312"/>
          <w:sz w:val="32"/>
          <w:szCs w:val="32"/>
        </w:rPr>
        <w:t>粤水人事函〔2019〕1150号</w:t>
      </w:r>
      <w:bookmarkEnd w:id="0"/>
    </w:p>
    <w:p>
      <w:pPr>
        <w:spacing w:line="572" w:lineRule="exact"/>
        <w:rPr>
          <w:rFonts w:ascii="Times New Roman" w:hAnsi="Times New Roman" w:eastAsia="仿宋_GB2312"/>
          <w:sz w:val="32"/>
          <w:szCs w:val="32"/>
        </w:rPr>
      </w:pPr>
    </w:p>
    <w:p>
      <w:pPr>
        <w:spacing w:line="572" w:lineRule="exact"/>
        <w:jc w:val="center"/>
        <w:rPr>
          <w:rFonts w:ascii="Times New Roman" w:hAnsi="Times New Roman" w:eastAsia="方正小标宋简体"/>
          <w:bCs/>
          <w:sz w:val="44"/>
          <w:szCs w:val="44"/>
        </w:rPr>
      </w:pPr>
      <w:bookmarkStart w:id="1" w:name="zhengwen"/>
      <w:bookmarkEnd w:id="1"/>
      <w:r>
        <w:rPr>
          <w:rFonts w:ascii="Times New Roman" w:hAnsi="Times New Roman" w:eastAsia="方正小标宋简体"/>
          <w:bCs/>
          <w:sz w:val="44"/>
          <w:szCs w:val="44"/>
        </w:rPr>
        <w:t>关于加强对省水利水电专业职称评审学术成果论文、著作真实性和相似性检核的通知</w:t>
      </w:r>
    </w:p>
    <w:p>
      <w:pPr>
        <w:spacing w:line="572" w:lineRule="exact"/>
        <w:jc w:val="center"/>
        <w:rPr>
          <w:rFonts w:ascii="Times New Roman" w:hAnsi="Times New Roman" w:eastAsia="仿宋_GB2312"/>
          <w:b/>
          <w:sz w:val="32"/>
          <w:szCs w:val="32"/>
        </w:rPr>
      </w:pPr>
    </w:p>
    <w:p>
      <w:pPr>
        <w:spacing w:line="552" w:lineRule="exact"/>
        <w:rPr>
          <w:rFonts w:ascii="Times New Roman" w:hAnsi="Times New Roman" w:eastAsia="仿宋_GB2312"/>
          <w:kern w:val="0"/>
          <w:sz w:val="32"/>
          <w:szCs w:val="32"/>
        </w:rPr>
      </w:pPr>
      <w:r>
        <w:rPr>
          <w:rFonts w:ascii="Times New Roman" w:hAnsi="Times New Roman" w:eastAsia="仿宋_GB2312"/>
          <w:spacing w:val="-6"/>
          <w:sz w:val="32"/>
          <w:szCs w:val="32"/>
        </w:rPr>
        <w:t>各地级以上市水利（水务）局，有关单位：</w:t>
      </w:r>
    </w:p>
    <w:p>
      <w:pPr>
        <w:spacing w:line="552" w:lineRule="exact"/>
        <w:ind w:firstLine="600"/>
        <w:rPr>
          <w:rFonts w:ascii="Times New Roman" w:hAnsi="Times New Roman" w:eastAsia="仿宋_GB2312"/>
          <w:bCs/>
          <w:sz w:val="32"/>
          <w:szCs w:val="32"/>
        </w:rPr>
      </w:pPr>
      <w:r>
        <w:rPr>
          <w:rFonts w:ascii="Times New Roman" w:hAnsi="Times New Roman" w:eastAsia="仿宋_GB2312"/>
          <w:kern w:val="0"/>
          <w:sz w:val="32"/>
          <w:szCs w:val="32"/>
        </w:rPr>
        <w:t>撰写并提供学术成果论文、著作是申报我省水利水电专业高级工程师、工程师职称的基本条件之一，是衡量申报人员科研能力水平的重要依据，如实申报是反映申报人员思想政治、职业道德素质的基础。近年来，我省水利行业学术环境不断改善，为推动我省水利科技工作发展发挥了积极作用。但在受理和评审工作中，也发现个别申报者提供的论文、著作或刊登在虚假刊物、或粗制滥造、或直接弄虚作假，影响评审工作的严肃性、客观性、真实性。仅2018年水利水电专业职称评审过程</w:t>
      </w:r>
      <w:r>
        <w:rPr>
          <w:rFonts w:ascii="Times New Roman" w:hAnsi="Times New Roman" w:eastAsia="仿宋_GB2312"/>
          <w:sz w:val="32"/>
          <w:szCs w:val="32"/>
        </w:rPr>
        <w:t>中，评审委员会就发现有申报者在虚假刊物刊登学术成果、有用人单位协助申报者伪造学术成果等情况。</w:t>
      </w:r>
      <w:r>
        <w:rPr>
          <w:rFonts w:ascii="Times New Roman" w:hAnsi="Times New Roman" w:eastAsia="仿宋_GB2312"/>
          <w:kern w:val="0"/>
          <w:sz w:val="32"/>
          <w:szCs w:val="32"/>
        </w:rPr>
        <w:t>为进一步优化学术环境，强化事前监督，我厅将加强对</w:t>
      </w:r>
      <w:r>
        <w:rPr>
          <w:rFonts w:ascii="Times New Roman" w:hAnsi="Times New Roman" w:eastAsia="仿宋_GB2312"/>
          <w:bCs/>
          <w:sz w:val="32"/>
          <w:szCs w:val="32"/>
        </w:rPr>
        <w:t>学术成果论文、著作真实性和相似性检核工作，具体事项通知如下。</w:t>
      </w:r>
    </w:p>
    <w:p>
      <w:pPr>
        <w:spacing w:line="552" w:lineRule="exact"/>
        <w:ind w:firstLine="600"/>
        <w:rPr>
          <w:rFonts w:ascii="Times New Roman" w:hAnsi="Times New Roman" w:eastAsia="黑体"/>
          <w:bCs/>
          <w:sz w:val="32"/>
          <w:szCs w:val="32"/>
        </w:rPr>
      </w:pPr>
      <w:r>
        <w:rPr>
          <w:rFonts w:ascii="Times New Roman" w:hAnsi="Times New Roman" w:eastAsia="黑体"/>
          <w:bCs/>
          <w:sz w:val="32"/>
          <w:szCs w:val="32"/>
        </w:rPr>
        <w:t>一、做好相关政策宣传</w:t>
      </w:r>
    </w:p>
    <w:p>
      <w:pPr>
        <w:spacing w:line="552" w:lineRule="exact"/>
        <w:ind w:firstLine="600"/>
        <w:rPr>
          <w:rFonts w:ascii="Times New Roman" w:hAnsi="Times New Roman" w:eastAsia="仿宋_GB2312"/>
          <w:color w:val="333333"/>
          <w:kern w:val="0"/>
          <w:sz w:val="32"/>
          <w:szCs w:val="32"/>
        </w:rPr>
      </w:pPr>
      <w:r>
        <w:rPr>
          <w:rFonts w:ascii="Times New Roman" w:hAnsi="Times New Roman" w:eastAsia="仿宋_GB2312"/>
          <w:kern w:val="0"/>
          <w:sz w:val="32"/>
          <w:szCs w:val="32"/>
        </w:rPr>
        <w:t>为进一步优化学术环境，更好地调动广大科技工作者的积极性，2015年12月29日，</w:t>
      </w:r>
      <w:r>
        <w:rPr>
          <w:rFonts w:ascii="Times New Roman" w:hAnsi="Times New Roman" w:eastAsia="仿宋_GB2312"/>
          <w:bCs/>
          <w:kern w:val="0"/>
          <w:sz w:val="32"/>
          <w:szCs w:val="32"/>
        </w:rPr>
        <w:t>国务院办公厅发出《关于优化学术环境的指导意见》（</w:t>
      </w:r>
      <w:r>
        <w:rPr>
          <w:rFonts w:ascii="Times New Roman" w:hAnsi="Times New Roman" w:eastAsia="仿宋_GB2312"/>
          <w:kern w:val="0"/>
          <w:sz w:val="32"/>
          <w:szCs w:val="32"/>
        </w:rPr>
        <w:t>国办发〔2015〕94号，以下简称《指导意见》），强调优化学术诚信环境，树立良好学风。《指导意见》要求建立学术诚信档案，加大对学术不端行为的查处力度，将严重学术不端行为向社会公布；严守学术道德，不准以任何形式抄袭盗用他人的论文等科研成果；不准为追求论文发表数量和引用量粗制滥造、投机取巧；不准利用中介机构或其他第三方代写或变相代写论文，或通过金钱交易在国内外刊物上发表论文。</w:t>
      </w:r>
    </w:p>
    <w:p>
      <w:pPr>
        <w:spacing w:line="552" w:lineRule="exact"/>
        <w:ind w:firstLine="600"/>
        <w:rPr>
          <w:rFonts w:ascii="Times New Roman" w:hAnsi="Times New Roman" w:eastAsia="仿宋_GB2312"/>
          <w:sz w:val="32"/>
          <w:szCs w:val="32"/>
        </w:rPr>
      </w:pPr>
      <w:r>
        <w:rPr>
          <w:rFonts w:ascii="Times New Roman" w:hAnsi="Times New Roman" w:eastAsia="仿宋_GB2312"/>
          <w:sz w:val="32"/>
          <w:szCs w:val="32"/>
        </w:rPr>
        <w:t>《</w:t>
      </w:r>
      <w:r>
        <w:rPr>
          <w:rFonts w:ascii="Times New Roman" w:hAnsi="Times New Roman" w:eastAsia="仿宋_GB2312"/>
          <w:sz w:val="32"/>
          <w:szCs w:val="32"/>
          <w:shd w:val="clear" w:color="auto" w:fill="FFFFFF"/>
        </w:rPr>
        <w:t>广东省高级专业技术资格评审暂行办法</w:t>
      </w:r>
      <w:r>
        <w:rPr>
          <w:rFonts w:ascii="Times New Roman" w:hAnsi="Times New Roman" w:eastAsia="仿宋_GB2312"/>
          <w:sz w:val="32"/>
          <w:szCs w:val="32"/>
        </w:rPr>
        <w:t>》（粤人职〔1998〕17号）和《关于印发广东省水利水电专业高级工程师、工程师资格条件的通知》（粤人职〔1999〕34号）对此也有明确规定，并明确对弄虚作假，伪造学历、资历，剽窃他人成果的行为进行追责。对不符合申报条件和程序、超出评委会受理范围或违反委托评审程序报送的申报材料，评审委员会可以按规定退回，不予受理。</w:t>
      </w:r>
    </w:p>
    <w:p>
      <w:pPr>
        <w:spacing w:line="552" w:lineRule="exact"/>
        <w:ind w:firstLine="600"/>
        <w:rPr>
          <w:rFonts w:ascii="Times New Roman" w:hAnsi="Times New Roman" w:eastAsia="仿宋_GB2312"/>
          <w:spacing w:val="-6"/>
          <w:sz w:val="32"/>
          <w:szCs w:val="32"/>
        </w:rPr>
      </w:pPr>
      <w:r>
        <w:rPr>
          <w:rFonts w:ascii="Times New Roman" w:hAnsi="Times New Roman" w:eastAsia="仿宋_GB2312"/>
          <w:sz w:val="32"/>
          <w:szCs w:val="32"/>
        </w:rPr>
        <w:t>各单位主办工作人员应掌握了解相关政策依据，及时进行宣</w:t>
      </w:r>
      <w:r>
        <w:rPr>
          <w:rFonts w:ascii="Times New Roman" w:hAnsi="Times New Roman" w:eastAsia="仿宋_GB2312"/>
          <w:spacing w:val="-6"/>
          <w:sz w:val="32"/>
          <w:szCs w:val="32"/>
        </w:rPr>
        <w:t>传，引导广大申报人如实填写申报材料，积极营造良好的学术氛围。</w:t>
      </w:r>
    </w:p>
    <w:p>
      <w:pPr>
        <w:numPr>
          <w:ilvl w:val="0"/>
          <w:numId w:val="1"/>
        </w:numPr>
        <w:spacing w:line="552" w:lineRule="exact"/>
        <w:ind w:firstLine="640"/>
        <w:rPr>
          <w:rFonts w:ascii="Times New Roman" w:hAnsi="Times New Roman" w:eastAsia="黑体"/>
          <w:color w:val="000000"/>
          <w:kern w:val="0"/>
          <w:sz w:val="32"/>
          <w:szCs w:val="32"/>
        </w:rPr>
      </w:pPr>
      <w:r>
        <w:rPr>
          <w:rFonts w:ascii="Times New Roman" w:hAnsi="Times New Roman" w:eastAsia="黑体"/>
          <w:color w:val="000000"/>
          <w:kern w:val="0"/>
          <w:sz w:val="32"/>
          <w:szCs w:val="32"/>
        </w:rPr>
        <w:t>用人单位要认真落实主体责任</w:t>
      </w:r>
    </w:p>
    <w:p>
      <w:pPr>
        <w:spacing w:line="552"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对职称申报、推荐、评审等环节严格实</w:t>
      </w:r>
      <w:r>
        <w:rPr>
          <w:rFonts w:hint="eastAsia" w:ascii="仿宋_GB2312" w:hAnsi="Times New Roman" w:eastAsia="仿宋_GB2312"/>
          <w:color w:val="000000"/>
          <w:kern w:val="0"/>
          <w:sz w:val="32"/>
          <w:szCs w:val="32"/>
        </w:rPr>
        <w:t>行“谁审核，谁签名；谁签名，谁负责”的管理责任制，严格对弄</w:t>
      </w:r>
      <w:r>
        <w:rPr>
          <w:rFonts w:ascii="Times New Roman" w:hAnsi="Times New Roman" w:eastAsia="仿宋_GB2312"/>
          <w:color w:val="000000"/>
          <w:kern w:val="0"/>
          <w:sz w:val="32"/>
          <w:szCs w:val="32"/>
        </w:rPr>
        <w:t>虚作假行为追责。申报人所在单位要认真审查申报材料的合法性、真实性、完整性和时效性，做好评前公示工作，对不符合申报条件的材料，应及时退回并向申报人说明原因。经查实，切实属于弄虚作假行为的，申报人所在单位必须严肃问责，达</w:t>
      </w:r>
      <w:r>
        <w:rPr>
          <w:rFonts w:hint="eastAsia" w:ascii="仿宋_GB2312" w:hAnsi="Times New Roman" w:eastAsia="仿宋_GB2312"/>
          <w:color w:val="000000"/>
          <w:kern w:val="0"/>
          <w:sz w:val="32"/>
          <w:szCs w:val="32"/>
        </w:rPr>
        <w:t>到“问责一次，教育一片”的</w:t>
      </w:r>
      <w:r>
        <w:rPr>
          <w:rFonts w:ascii="Times New Roman" w:hAnsi="Times New Roman" w:eastAsia="仿宋_GB2312"/>
          <w:color w:val="000000"/>
          <w:kern w:val="0"/>
          <w:sz w:val="32"/>
          <w:szCs w:val="32"/>
        </w:rPr>
        <w:t>效果。</w:t>
      </w:r>
    </w:p>
    <w:p>
      <w:pPr>
        <w:spacing w:line="552" w:lineRule="exact"/>
        <w:ind w:firstLine="600"/>
        <w:rPr>
          <w:rFonts w:ascii="Times New Roman" w:hAnsi="Times New Roman" w:eastAsia="仿宋_GB2312"/>
          <w:color w:val="333333"/>
          <w:kern w:val="0"/>
          <w:sz w:val="32"/>
          <w:szCs w:val="32"/>
        </w:rPr>
      </w:pPr>
      <w:r>
        <w:rPr>
          <w:rFonts w:ascii="Times New Roman" w:hAnsi="Times New Roman" w:eastAsia="黑体"/>
          <w:color w:val="333333"/>
          <w:kern w:val="0"/>
          <w:sz w:val="32"/>
          <w:szCs w:val="32"/>
        </w:rPr>
        <w:t>三、申报人需如实按要求申报</w:t>
      </w:r>
    </w:p>
    <w:p>
      <w:pPr>
        <w:spacing w:line="552" w:lineRule="exact"/>
        <w:ind w:firstLine="640"/>
        <w:rPr>
          <w:rFonts w:ascii="Times New Roman" w:hAnsi="Times New Roman" w:eastAsia="仿宋_GB2312"/>
          <w:color w:val="000000"/>
          <w:spacing w:val="-6"/>
          <w:kern w:val="0"/>
          <w:sz w:val="32"/>
          <w:szCs w:val="32"/>
        </w:rPr>
      </w:pPr>
      <w:r>
        <w:rPr>
          <w:rFonts w:ascii="Times New Roman" w:hAnsi="Times New Roman" w:eastAsia="仿宋_GB2312"/>
          <w:kern w:val="0"/>
          <w:sz w:val="32"/>
          <w:szCs w:val="32"/>
        </w:rPr>
        <w:t>申报人对所提交的材料负责。</w:t>
      </w:r>
      <w:r>
        <w:rPr>
          <w:rFonts w:ascii="Times New Roman" w:hAnsi="Times New Roman" w:eastAsia="仿宋_GB2312"/>
          <w:color w:val="000000"/>
          <w:kern w:val="0"/>
          <w:sz w:val="32"/>
          <w:szCs w:val="32"/>
        </w:rPr>
        <w:t>提交的论文刊物应能够</w:t>
      </w:r>
      <w:r>
        <w:rPr>
          <w:rFonts w:hint="eastAsia" w:ascii="仿宋_GB2312" w:hAnsi="Times New Roman" w:eastAsia="仿宋_GB2312"/>
          <w:color w:val="000000"/>
          <w:kern w:val="0"/>
          <w:sz w:val="32"/>
          <w:szCs w:val="32"/>
        </w:rPr>
        <w:t>在“中华人民共和国国家新闻出版广电总局”</w:t>
      </w:r>
      <w:r>
        <w:rPr>
          <w:rFonts w:ascii="Times New Roman" w:hAnsi="Times New Roman" w:eastAsia="仿宋_GB2312"/>
          <w:color w:val="000000"/>
          <w:kern w:val="0"/>
          <w:sz w:val="32"/>
          <w:szCs w:val="32"/>
        </w:rPr>
        <w:t>（http://www.gapp.gov.cn/）和</w:t>
      </w:r>
      <w:r>
        <w:rPr>
          <w:rFonts w:hint="eastAsia" w:ascii="仿宋_GB2312" w:hAnsi="Times New Roman" w:eastAsia="仿宋_GB2312"/>
          <w:color w:val="000000"/>
          <w:kern w:val="0"/>
          <w:sz w:val="32"/>
          <w:szCs w:val="32"/>
        </w:rPr>
        <w:t>“</w:t>
      </w:r>
      <w:r>
        <w:rPr>
          <w:rFonts w:ascii="Times New Roman" w:hAnsi="Times New Roman" w:eastAsia="仿宋_GB2312"/>
          <w:color w:val="000000"/>
          <w:kern w:val="0"/>
          <w:sz w:val="32"/>
          <w:szCs w:val="32"/>
        </w:rPr>
        <w:t>ISSN中国国家中心</w:t>
      </w:r>
      <w:r>
        <w:rPr>
          <w:rFonts w:hint="eastAsia" w:ascii="仿宋_GB2312" w:hAnsi="Times New Roman" w:eastAsia="仿宋_GB2312"/>
          <w:color w:val="000000"/>
          <w:kern w:val="0"/>
          <w:sz w:val="32"/>
          <w:szCs w:val="32"/>
        </w:rPr>
        <w:t>”</w:t>
      </w:r>
      <w:r>
        <w:rPr>
          <w:rFonts w:ascii="Times New Roman" w:hAnsi="Times New Roman" w:eastAsia="仿宋_GB2312"/>
          <w:color w:val="000000"/>
          <w:kern w:val="0"/>
          <w:sz w:val="32"/>
          <w:szCs w:val="32"/>
        </w:rPr>
        <w:t>（http://www.nlc.cn/newissn/cxissn/）查询到经批准注册信息。</w:t>
      </w:r>
      <w:r>
        <w:rPr>
          <w:rFonts w:ascii="Times New Roman" w:hAnsi="Times New Roman" w:eastAsia="仿宋_GB2312"/>
          <w:kern w:val="0"/>
          <w:sz w:val="32"/>
          <w:szCs w:val="32"/>
        </w:rPr>
        <w:t>论文、著作可</w:t>
      </w:r>
      <w:r>
        <w:rPr>
          <w:rFonts w:hint="eastAsia" w:ascii="仿宋_GB2312" w:hAnsi="Times New Roman" w:eastAsia="仿宋_GB2312"/>
          <w:color w:val="000000"/>
          <w:kern w:val="0"/>
          <w:sz w:val="32"/>
          <w:szCs w:val="32"/>
        </w:rPr>
        <w:t>在“中国知网”或“万方数据知识服务平台”网站检索到，</w:t>
      </w:r>
      <w:r>
        <w:rPr>
          <w:rFonts w:hint="eastAsia" w:ascii="仿宋_GB2312" w:hAnsi="Times New Roman" w:eastAsia="仿宋_GB2312"/>
          <w:color w:val="000000"/>
          <w:sz w:val="32"/>
          <w:szCs w:val="32"/>
        </w:rPr>
        <w:t>统一使用“中国知网学术不端文献监测系统”进行学术相</w:t>
      </w:r>
      <w:r>
        <w:rPr>
          <w:rFonts w:ascii="Times New Roman" w:hAnsi="Times New Roman" w:eastAsia="仿宋_GB2312"/>
          <w:color w:val="000000"/>
          <w:sz w:val="32"/>
          <w:szCs w:val="32"/>
        </w:rPr>
        <w:t>似性检测（文字复制比一般不应超过</w:t>
      </w:r>
      <w:r>
        <w:rPr>
          <w:rFonts w:ascii="Times New Roman" w:hAnsi="Times New Roman" w:eastAsia="仿宋_GB2312"/>
          <w:color w:val="000000"/>
          <w:spacing w:val="-6"/>
          <w:sz w:val="32"/>
          <w:szCs w:val="32"/>
        </w:rPr>
        <w:t>30%），</w:t>
      </w:r>
      <w:r>
        <w:rPr>
          <w:rFonts w:ascii="Times New Roman" w:hAnsi="Times New Roman" w:eastAsia="仿宋_GB2312"/>
          <w:color w:val="000000"/>
          <w:spacing w:val="-6"/>
          <w:kern w:val="0"/>
          <w:sz w:val="32"/>
          <w:szCs w:val="32"/>
        </w:rPr>
        <w:t>无法通过检测又无法提供合理说明的申报材料将不予受理。</w:t>
      </w:r>
    </w:p>
    <w:p>
      <w:pPr>
        <w:spacing w:line="552"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向省水利水电专业高级职称评审委员会提交材料时，申报人须填写《专业技术人员职称申报承诺书》（附件1）和《论文期刊信息表》（附件2），随申报材料一并提交。</w:t>
      </w:r>
    </w:p>
    <w:p>
      <w:pPr>
        <w:spacing w:line="552" w:lineRule="exact"/>
        <w:rPr>
          <w:rFonts w:ascii="Times New Roman" w:hAnsi="Times New Roman" w:eastAsia="仿宋_GB2312"/>
          <w:color w:val="000000"/>
          <w:kern w:val="0"/>
          <w:sz w:val="32"/>
          <w:szCs w:val="32"/>
        </w:rPr>
      </w:pPr>
    </w:p>
    <w:p>
      <w:pPr>
        <w:spacing w:line="552"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附件：1. 专业技术人员职称申报承诺书</w:t>
      </w:r>
    </w:p>
    <w:p>
      <w:pPr>
        <w:spacing w:line="552" w:lineRule="exact"/>
        <w:ind w:firstLine="1600" w:firstLineChars="500"/>
        <w:rPr>
          <w:rFonts w:hint="eastAsia" w:ascii="Times New Roman" w:hAnsi="Times New Roman" w:eastAsia="仿宋_GB2312"/>
          <w:color w:val="000000"/>
          <w:kern w:val="0"/>
          <w:sz w:val="32"/>
          <w:szCs w:val="32"/>
        </w:rPr>
      </w:pPr>
      <w:r>
        <w:rPr>
          <w:rFonts w:ascii="Times New Roman" w:hAnsi="Times New Roman" w:eastAsia="仿宋_GB2312"/>
          <w:color w:val="000000"/>
          <w:kern w:val="0"/>
          <w:sz w:val="32"/>
          <w:szCs w:val="32"/>
        </w:rPr>
        <w:t>2. 论文期刊信息表</w:t>
      </w:r>
    </w:p>
    <w:p>
      <w:pPr>
        <w:spacing w:line="552" w:lineRule="exact"/>
        <w:ind w:firstLine="1600" w:firstLineChars="500"/>
        <w:rPr>
          <w:rFonts w:hint="eastAsia" w:ascii="Times New Roman" w:hAnsi="Times New Roman" w:eastAsia="仿宋_GB2312"/>
          <w:color w:val="000000"/>
          <w:kern w:val="0"/>
          <w:sz w:val="32"/>
          <w:szCs w:val="32"/>
        </w:rPr>
      </w:pPr>
    </w:p>
    <w:p>
      <w:pPr>
        <w:spacing w:line="552" w:lineRule="exact"/>
        <w:ind w:firstLine="1600" w:firstLineChars="500"/>
        <w:rPr>
          <w:rFonts w:hint="eastAsia" w:ascii="Times New Roman" w:hAnsi="Times New Roman" w:eastAsia="仿宋_GB2312"/>
          <w:color w:val="000000"/>
          <w:kern w:val="0"/>
          <w:sz w:val="32"/>
          <w:szCs w:val="32"/>
        </w:rPr>
      </w:pPr>
    </w:p>
    <w:p>
      <w:pPr>
        <w:spacing w:line="552" w:lineRule="exact"/>
        <w:ind w:firstLine="1600" w:firstLineChars="500"/>
        <w:rPr>
          <w:rFonts w:hint="eastAsia" w:ascii="Times New Roman" w:hAnsi="Times New Roman" w:eastAsia="仿宋_GB2312"/>
          <w:color w:val="000000"/>
          <w:kern w:val="0"/>
          <w:sz w:val="32"/>
          <w:szCs w:val="32"/>
        </w:rPr>
      </w:pPr>
    </w:p>
    <w:p>
      <w:pPr>
        <w:spacing w:line="552" w:lineRule="exact"/>
        <w:ind w:firstLine="1600" w:firstLineChars="500"/>
        <w:rPr>
          <w:rFonts w:hint="eastAsia" w:ascii="Times New Roman" w:hAnsi="Times New Roman" w:eastAsia="仿宋_GB2312"/>
          <w:color w:val="000000"/>
          <w:kern w:val="0"/>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广东省水利厅</w:t>
      </w:r>
      <w:bookmarkStart w:id="2" w:name="qfrq1"/>
    </w:p>
    <w:p>
      <w:pPr>
        <w:tabs>
          <w:tab w:val="left" w:pos="7560"/>
        </w:tabs>
        <w:spacing w:line="552" w:lineRule="exact"/>
        <w:ind w:firstLine="1600" w:firstLineChars="5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xml:space="preserve">                      </w:t>
      </w:r>
      <w:r>
        <w:rPr>
          <w:rFonts w:ascii="Times New Roman" w:hAnsi="Times New Roman" w:eastAsia="仿宋_GB2312"/>
          <w:sz w:val="32"/>
          <w:szCs w:val="32"/>
        </w:rPr>
        <w:t>2019年5月27日</w:t>
      </w:r>
      <w:bookmarkEnd w:id="2"/>
    </w:p>
    <w:p>
      <w:pPr>
        <w:spacing w:line="572" w:lineRule="exact"/>
        <w:ind w:firstLine="4800" w:firstLineChars="1500"/>
        <w:rPr>
          <w:rFonts w:ascii="Times New Roman" w:hAnsi="Times New Roman" w:eastAsia="仿宋_GB2312"/>
          <w:color w:val="000000"/>
          <w:kern w:val="0"/>
          <w:sz w:val="32"/>
          <w:szCs w:val="32"/>
        </w:rPr>
      </w:pPr>
    </w:p>
    <w:p>
      <w:pPr>
        <w:spacing w:line="572" w:lineRule="exact"/>
        <w:rPr>
          <w:rFonts w:hint="eastAsia" w:ascii="Times New Roman" w:hAnsi="Times New Roman" w:eastAsia="黑体"/>
          <w:color w:val="000000"/>
          <w:kern w:val="0"/>
          <w:sz w:val="32"/>
          <w:szCs w:val="32"/>
        </w:rPr>
      </w:pPr>
    </w:p>
    <w:p>
      <w:pPr>
        <w:rPr>
          <w:rFonts w:ascii="Times New Roman" w:hAnsi="Times New Roman" w:eastAsia="黑体"/>
          <w:color w:val="000000"/>
          <w:kern w:val="0"/>
          <w:sz w:val="32"/>
          <w:szCs w:val="32"/>
        </w:rPr>
      </w:pPr>
    </w:p>
    <w:p>
      <w:pPr>
        <w:rPr>
          <w:rFonts w:ascii="Times New Roman" w:hAnsi="Times New Roman" w:eastAsia="黑体"/>
          <w:color w:val="000000"/>
          <w:kern w:val="0"/>
          <w:sz w:val="32"/>
          <w:szCs w:val="32"/>
        </w:rPr>
      </w:pPr>
    </w:p>
    <w:p>
      <w:pPr>
        <w:rPr>
          <w:rFonts w:ascii="Times New Roman" w:hAnsi="Times New Roman" w:eastAsia="黑体"/>
          <w:color w:val="000000"/>
          <w:kern w:val="0"/>
          <w:sz w:val="32"/>
          <w:szCs w:val="32"/>
        </w:rPr>
      </w:pPr>
    </w:p>
    <w:p>
      <w:pPr>
        <w:rPr>
          <w:rFonts w:ascii="Times New Roman" w:hAnsi="Times New Roman" w:eastAsia="黑体"/>
          <w:color w:val="000000"/>
          <w:kern w:val="0"/>
          <w:sz w:val="32"/>
          <w:szCs w:val="32"/>
        </w:rPr>
      </w:pPr>
    </w:p>
    <w:p>
      <w:pPr>
        <w:rPr>
          <w:rFonts w:ascii="Times New Roman" w:hAnsi="Times New Roman" w:eastAsia="仿宋_GB2312"/>
          <w:color w:val="000000"/>
          <w:kern w:val="0"/>
          <w:sz w:val="32"/>
          <w:szCs w:val="32"/>
        </w:rPr>
      </w:pPr>
      <w:r>
        <w:rPr>
          <w:rFonts w:ascii="Times New Roman" w:hAnsi="Times New Roman" w:eastAsia="黑体"/>
          <w:color w:val="000000"/>
          <w:kern w:val="0"/>
          <w:sz w:val="32"/>
          <w:szCs w:val="32"/>
        </w:rPr>
        <w:t>附件</w:t>
      </w:r>
      <w:r>
        <w:rPr>
          <w:rFonts w:ascii="Times New Roman" w:hAnsi="Times New Roman" w:eastAsia="仿宋_GB2312"/>
          <w:color w:val="000000"/>
          <w:kern w:val="0"/>
          <w:sz w:val="32"/>
          <w:szCs w:val="32"/>
        </w:rPr>
        <w:t>1</w:t>
      </w:r>
    </w:p>
    <w:p>
      <w:pPr>
        <w:spacing w:line="240" w:lineRule="exact"/>
        <w:jc w:val="center"/>
        <w:rPr>
          <w:rFonts w:hint="eastAsia" w:ascii="Times New Roman" w:hAnsi="Times New Roman" w:eastAsia="方正小标宋简体"/>
          <w:bCs/>
          <w:sz w:val="44"/>
          <w:szCs w:val="44"/>
        </w:rPr>
      </w:pPr>
    </w:p>
    <w:p>
      <w:pPr>
        <w:spacing w:line="572" w:lineRule="exact"/>
        <w:jc w:val="center"/>
        <w:rPr>
          <w:rFonts w:hint="eastAsia" w:ascii="Times New Roman" w:hAnsi="Times New Roman" w:eastAsia="方正小标宋简体"/>
          <w:bCs/>
          <w:sz w:val="44"/>
          <w:szCs w:val="44"/>
        </w:rPr>
      </w:pPr>
      <w:r>
        <w:rPr>
          <w:rFonts w:ascii="Times New Roman" w:hAnsi="Times New Roman" w:eastAsia="方正小标宋简体"/>
          <w:bCs/>
          <w:sz w:val="44"/>
          <w:szCs w:val="44"/>
        </w:rPr>
        <w:t>专业技术人员职称申报承诺书</w:t>
      </w:r>
    </w:p>
    <w:p>
      <w:pPr>
        <w:spacing w:line="240" w:lineRule="exact"/>
        <w:jc w:val="center"/>
        <w:rPr>
          <w:rFonts w:hint="eastAsia" w:ascii="Times New Roman" w:hAnsi="Times New Roman" w:eastAsia="方正小标宋简体"/>
          <w:bCs/>
          <w:sz w:val="44"/>
          <w:szCs w:val="44"/>
        </w:rPr>
      </w:pPr>
    </w:p>
    <w:p>
      <w:pPr>
        <w:rPr>
          <w:rFonts w:ascii="Times New Roman" w:hAnsi="Times New Roman"/>
          <w:szCs w:val="21"/>
        </w:rPr>
      </w:pPr>
    </w:p>
    <w:tbl>
      <w:tblPr>
        <w:tblStyle w:val="3"/>
        <w:tblW w:w="95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1285"/>
        <w:gridCol w:w="958"/>
        <w:gridCol w:w="1101"/>
        <w:gridCol w:w="1652"/>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4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sz w:val="30"/>
                <w:szCs w:val="30"/>
              </w:rPr>
            </w:pPr>
            <w:r>
              <w:rPr>
                <w:rFonts w:ascii="黑体" w:hAnsi="黑体" w:eastAsia="黑体"/>
                <w:sz w:val="30"/>
                <w:szCs w:val="30"/>
              </w:rPr>
              <w:t>姓名</w:t>
            </w:r>
          </w:p>
        </w:tc>
        <w:tc>
          <w:tcPr>
            <w:tcW w:w="12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sz w:val="30"/>
                <w:szCs w:val="30"/>
              </w:rPr>
            </w:pPr>
          </w:p>
        </w:tc>
        <w:tc>
          <w:tcPr>
            <w:tcW w:w="9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sz w:val="30"/>
                <w:szCs w:val="30"/>
              </w:rPr>
            </w:pPr>
            <w:r>
              <w:rPr>
                <w:rFonts w:ascii="黑体" w:hAnsi="黑体" w:eastAsia="黑体"/>
                <w:sz w:val="30"/>
                <w:szCs w:val="30"/>
              </w:rPr>
              <w:t>性别</w:t>
            </w:r>
          </w:p>
        </w:tc>
        <w:tc>
          <w:tcPr>
            <w:tcW w:w="11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sz w:val="30"/>
                <w:szCs w:val="30"/>
              </w:rPr>
            </w:pPr>
          </w:p>
        </w:tc>
        <w:tc>
          <w:tcPr>
            <w:tcW w:w="165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黑体" w:hAnsi="黑体" w:eastAsia="黑体"/>
                <w:spacing w:val="-12"/>
                <w:sz w:val="30"/>
                <w:szCs w:val="30"/>
              </w:rPr>
            </w:pPr>
            <w:r>
              <w:rPr>
                <w:rFonts w:ascii="黑体" w:hAnsi="黑体" w:eastAsia="黑体"/>
                <w:spacing w:val="-12"/>
                <w:sz w:val="30"/>
                <w:szCs w:val="30"/>
              </w:rPr>
              <w:t>身份证号码</w:t>
            </w:r>
          </w:p>
        </w:tc>
        <w:tc>
          <w:tcPr>
            <w:tcW w:w="30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146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黑体" w:hAnsi="黑体" w:eastAsia="黑体"/>
                <w:spacing w:val="-10"/>
                <w:sz w:val="30"/>
                <w:szCs w:val="30"/>
              </w:rPr>
            </w:pPr>
            <w:r>
              <w:rPr>
                <w:rFonts w:ascii="黑体" w:hAnsi="黑体" w:eastAsia="黑体"/>
                <w:spacing w:val="-10"/>
                <w:sz w:val="30"/>
                <w:szCs w:val="30"/>
              </w:rPr>
              <w:t>工作单位</w:t>
            </w:r>
          </w:p>
        </w:tc>
        <w:tc>
          <w:tcPr>
            <w:tcW w:w="334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sz w:val="30"/>
                <w:szCs w:val="30"/>
              </w:rPr>
            </w:pPr>
          </w:p>
        </w:tc>
        <w:tc>
          <w:tcPr>
            <w:tcW w:w="16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sz w:val="30"/>
                <w:szCs w:val="30"/>
              </w:rPr>
            </w:pPr>
            <w:r>
              <w:rPr>
                <w:rFonts w:ascii="黑体" w:hAnsi="黑体" w:eastAsia="黑体"/>
                <w:sz w:val="30"/>
                <w:szCs w:val="30"/>
              </w:rPr>
              <w:t>申报资格</w:t>
            </w:r>
          </w:p>
        </w:tc>
        <w:tc>
          <w:tcPr>
            <w:tcW w:w="30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 xml:space="preserve">         专业     </w:t>
            </w:r>
          </w:p>
          <w:p>
            <w:pPr>
              <w:spacing w:line="400" w:lineRule="exact"/>
              <w:jc w:val="center"/>
              <w:rPr>
                <w:rFonts w:ascii="Times New Roman" w:hAnsi="Times New Roman" w:eastAsia="仿宋_GB2312"/>
                <w:sz w:val="30"/>
                <w:szCs w:val="30"/>
              </w:rPr>
            </w:pPr>
            <w:r>
              <w:rPr>
                <w:rFonts w:ascii="Times New Roman" w:hAnsi="Times New Roman" w:eastAsia="仿宋_GB2312"/>
                <w:sz w:val="30"/>
                <w:szCs w:val="30"/>
              </w:rPr>
              <w:t xml:space="preserve">         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5" w:hRule="atLeast"/>
        </w:trPr>
        <w:tc>
          <w:tcPr>
            <w:tcW w:w="14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sz w:val="30"/>
                <w:szCs w:val="30"/>
              </w:rPr>
            </w:pPr>
            <w:r>
              <w:rPr>
                <w:rFonts w:ascii="黑体" w:hAnsi="黑体" w:eastAsia="黑体"/>
                <w:sz w:val="30"/>
                <w:szCs w:val="30"/>
              </w:rPr>
              <w:t>个</w:t>
            </w:r>
          </w:p>
          <w:p>
            <w:pPr>
              <w:spacing w:line="400" w:lineRule="exact"/>
              <w:jc w:val="center"/>
              <w:rPr>
                <w:rFonts w:ascii="黑体" w:hAnsi="黑体" w:eastAsia="黑体"/>
                <w:sz w:val="30"/>
                <w:szCs w:val="30"/>
              </w:rPr>
            </w:pPr>
            <w:r>
              <w:rPr>
                <w:rFonts w:ascii="黑体" w:hAnsi="黑体" w:eastAsia="黑体"/>
                <w:sz w:val="30"/>
                <w:szCs w:val="30"/>
              </w:rPr>
              <w:t>人</w:t>
            </w:r>
          </w:p>
          <w:p>
            <w:pPr>
              <w:spacing w:line="400" w:lineRule="exact"/>
              <w:jc w:val="center"/>
              <w:rPr>
                <w:rFonts w:ascii="黑体" w:hAnsi="黑体" w:eastAsia="黑体"/>
                <w:sz w:val="30"/>
                <w:szCs w:val="30"/>
              </w:rPr>
            </w:pPr>
            <w:r>
              <w:rPr>
                <w:rFonts w:ascii="黑体" w:hAnsi="黑体" w:eastAsia="黑体"/>
                <w:sz w:val="30"/>
                <w:szCs w:val="30"/>
              </w:rPr>
              <w:t>承</w:t>
            </w:r>
          </w:p>
          <w:p>
            <w:pPr>
              <w:spacing w:line="400" w:lineRule="exact"/>
              <w:jc w:val="center"/>
              <w:rPr>
                <w:rFonts w:ascii="黑体" w:hAnsi="黑体" w:eastAsia="黑体"/>
                <w:sz w:val="30"/>
                <w:szCs w:val="30"/>
              </w:rPr>
            </w:pPr>
            <w:r>
              <w:rPr>
                <w:rFonts w:ascii="黑体" w:hAnsi="黑体" w:eastAsia="黑体"/>
                <w:sz w:val="30"/>
                <w:szCs w:val="30"/>
              </w:rPr>
              <w:t>诺</w:t>
            </w:r>
          </w:p>
        </w:tc>
        <w:tc>
          <w:tcPr>
            <w:tcW w:w="8075" w:type="dxa"/>
            <w:gridSpan w:val="5"/>
            <w:tcBorders>
              <w:top w:val="single" w:color="auto" w:sz="4" w:space="0"/>
              <w:left w:val="single" w:color="auto" w:sz="4" w:space="0"/>
              <w:bottom w:val="single" w:color="auto" w:sz="4" w:space="0"/>
              <w:right w:val="single" w:color="auto" w:sz="4" w:space="0"/>
            </w:tcBorders>
            <w:vAlign w:val="top"/>
          </w:tcPr>
          <w:p>
            <w:pPr>
              <w:spacing w:line="40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本人承诺在此次职称申报中所提供的各类证书及证明材料均真实有效，如被查到有伪造学历、资历，剽窃他人成果等行为，自愿接受相应处理。</w:t>
            </w:r>
          </w:p>
          <w:p>
            <w:pPr>
              <w:spacing w:line="400" w:lineRule="exact"/>
              <w:rPr>
                <w:rFonts w:ascii="Times New Roman" w:hAnsi="Times New Roman" w:eastAsia="仿宋_GB2312"/>
                <w:sz w:val="30"/>
                <w:szCs w:val="30"/>
              </w:rPr>
            </w:pPr>
          </w:p>
          <w:p>
            <w:pPr>
              <w:spacing w:line="400" w:lineRule="exact"/>
              <w:ind w:firstLine="1500" w:firstLineChars="500"/>
              <w:rPr>
                <w:rFonts w:ascii="Times New Roman" w:hAnsi="Times New Roman" w:eastAsia="仿宋_GB2312"/>
                <w:sz w:val="30"/>
                <w:szCs w:val="30"/>
              </w:rPr>
            </w:pPr>
            <w:r>
              <w:rPr>
                <w:rFonts w:ascii="Times New Roman" w:hAnsi="Times New Roman" w:eastAsia="仿宋_GB2312"/>
                <w:sz w:val="30"/>
                <w:szCs w:val="30"/>
              </w:rPr>
              <w:t xml:space="preserve">                 个人签名：</w:t>
            </w:r>
          </w:p>
          <w:p>
            <w:pPr>
              <w:spacing w:line="400" w:lineRule="exact"/>
              <w:rPr>
                <w:rFonts w:ascii="Times New Roman" w:hAnsi="Times New Roman" w:eastAsia="仿宋_GB2312"/>
                <w:sz w:val="30"/>
                <w:szCs w:val="30"/>
              </w:rPr>
            </w:pPr>
          </w:p>
          <w:p>
            <w:pPr>
              <w:spacing w:line="400" w:lineRule="exact"/>
              <w:rPr>
                <w:rFonts w:ascii="Times New Roman" w:hAnsi="Times New Roman" w:eastAsia="仿宋_GB2312"/>
                <w:sz w:val="30"/>
                <w:szCs w:val="30"/>
              </w:rPr>
            </w:pPr>
            <w:r>
              <w:rPr>
                <w:rFonts w:ascii="Times New Roman" w:hAnsi="Times New Roman" w:eastAsia="仿宋_GB2312"/>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14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sz w:val="30"/>
                <w:szCs w:val="30"/>
              </w:rPr>
            </w:pPr>
            <w:r>
              <w:rPr>
                <w:rFonts w:ascii="黑体" w:hAnsi="黑体" w:eastAsia="黑体"/>
                <w:sz w:val="30"/>
                <w:szCs w:val="30"/>
              </w:rPr>
              <w:t>单</w:t>
            </w:r>
          </w:p>
          <w:p>
            <w:pPr>
              <w:spacing w:line="400" w:lineRule="exact"/>
              <w:jc w:val="center"/>
              <w:rPr>
                <w:rFonts w:ascii="黑体" w:hAnsi="黑体" w:eastAsia="黑体"/>
                <w:sz w:val="30"/>
                <w:szCs w:val="30"/>
              </w:rPr>
            </w:pPr>
            <w:r>
              <w:rPr>
                <w:rFonts w:ascii="黑体" w:hAnsi="黑体" w:eastAsia="黑体"/>
                <w:sz w:val="30"/>
                <w:szCs w:val="30"/>
              </w:rPr>
              <w:t>位</w:t>
            </w:r>
          </w:p>
          <w:p>
            <w:pPr>
              <w:spacing w:line="400" w:lineRule="exact"/>
              <w:jc w:val="center"/>
              <w:rPr>
                <w:rFonts w:ascii="黑体" w:hAnsi="黑体" w:eastAsia="黑体"/>
                <w:sz w:val="30"/>
                <w:szCs w:val="30"/>
              </w:rPr>
            </w:pPr>
            <w:r>
              <w:rPr>
                <w:rFonts w:ascii="黑体" w:hAnsi="黑体" w:eastAsia="黑体"/>
                <w:sz w:val="30"/>
                <w:szCs w:val="30"/>
              </w:rPr>
              <w:t>承</w:t>
            </w:r>
          </w:p>
          <w:p>
            <w:pPr>
              <w:spacing w:line="400" w:lineRule="exact"/>
              <w:jc w:val="center"/>
              <w:rPr>
                <w:rFonts w:ascii="黑体" w:hAnsi="黑体" w:eastAsia="黑体"/>
                <w:sz w:val="30"/>
                <w:szCs w:val="30"/>
              </w:rPr>
            </w:pPr>
            <w:r>
              <w:rPr>
                <w:rFonts w:ascii="黑体" w:hAnsi="黑体" w:eastAsia="黑体"/>
                <w:sz w:val="30"/>
                <w:szCs w:val="30"/>
              </w:rPr>
              <w:t>诺</w:t>
            </w:r>
          </w:p>
        </w:tc>
        <w:tc>
          <w:tcPr>
            <w:tcW w:w="8075" w:type="dxa"/>
            <w:gridSpan w:val="5"/>
            <w:tcBorders>
              <w:top w:val="single" w:color="auto" w:sz="4" w:space="0"/>
              <w:left w:val="single" w:color="auto" w:sz="4" w:space="0"/>
              <w:bottom w:val="single" w:color="auto" w:sz="4" w:space="0"/>
              <w:right w:val="single" w:color="auto" w:sz="4" w:space="0"/>
            </w:tcBorders>
            <w:vAlign w:val="top"/>
          </w:tcPr>
          <w:p>
            <w:pPr>
              <w:spacing w:line="40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经审核，该同志所提交的职称申报材料均真实有效，如发现弄虚作假，伪造学历、资历，剽窃他人成果等行为，我单位愿承担相应责任。</w:t>
            </w:r>
          </w:p>
          <w:p>
            <w:pPr>
              <w:spacing w:line="400" w:lineRule="exact"/>
              <w:rPr>
                <w:rFonts w:ascii="Times New Roman" w:hAnsi="Times New Roman" w:eastAsia="仿宋_GB2312"/>
                <w:sz w:val="30"/>
                <w:szCs w:val="30"/>
              </w:rPr>
            </w:pPr>
          </w:p>
          <w:p>
            <w:pPr>
              <w:spacing w:line="400" w:lineRule="exact"/>
              <w:rPr>
                <w:rFonts w:ascii="Times New Roman" w:hAnsi="Times New Roman" w:eastAsia="仿宋_GB2312"/>
                <w:sz w:val="30"/>
                <w:szCs w:val="30"/>
              </w:rPr>
            </w:pPr>
            <w:r>
              <w:rPr>
                <w:rFonts w:ascii="Times New Roman" w:hAnsi="Times New Roman" w:eastAsia="仿宋_GB2312"/>
                <w:sz w:val="30"/>
                <w:szCs w:val="30"/>
              </w:rPr>
              <w:t>单位盖章：                负责人签名：</w:t>
            </w:r>
          </w:p>
          <w:p>
            <w:pPr>
              <w:spacing w:line="400" w:lineRule="exact"/>
              <w:rPr>
                <w:rFonts w:ascii="Times New Roman" w:hAnsi="Times New Roman" w:eastAsia="仿宋_GB2312"/>
                <w:sz w:val="30"/>
                <w:szCs w:val="30"/>
              </w:rPr>
            </w:pPr>
          </w:p>
          <w:p>
            <w:pPr>
              <w:spacing w:line="400" w:lineRule="exact"/>
              <w:rPr>
                <w:rFonts w:ascii="Times New Roman" w:hAnsi="Times New Roman" w:eastAsia="仿宋_GB2312"/>
                <w:sz w:val="30"/>
                <w:szCs w:val="30"/>
              </w:rPr>
            </w:pPr>
            <w:r>
              <w:rPr>
                <w:rFonts w:ascii="Times New Roman" w:hAnsi="Times New Roman" w:eastAsia="仿宋_GB2312"/>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5" w:hRule="atLeast"/>
        </w:trPr>
        <w:tc>
          <w:tcPr>
            <w:tcW w:w="14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sz w:val="30"/>
                <w:szCs w:val="30"/>
              </w:rPr>
            </w:pPr>
            <w:r>
              <w:rPr>
                <w:rFonts w:ascii="黑体" w:hAnsi="黑体" w:eastAsia="黑体"/>
                <w:sz w:val="30"/>
                <w:szCs w:val="30"/>
              </w:rPr>
              <w:t>说</w:t>
            </w:r>
          </w:p>
          <w:p>
            <w:pPr>
              <w:spacing w:line="400" w:lineRule="exact"/>
              <w:jc w:val="center"/>
              <w:rPr>
                <w:rFonts w:ascii="黑体" w:hAnsi="黑体" w:eastAsia="黑体"/>
                <w:sz w:val="30"/>
                <w:szCs w:val="30"/>
              </w:rPr>
            </w:pPr>
            <w:r>
              <w:rPr>
                <w:rFonts w:ascii="黑体" w:hAnsi="黑体" w:eastAsia="黑体"/>
                <w:sz w:val="30"/>
                <w:szCs w:val="30"/>
              </w:rPr>
              <w:t>明</w:t>
            </w:r>
          </w:p>
        </w:tc>
        <w:tc>
          <w:tcPr>
            <w:tcW w:w="8075"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sz w:val="30"/>
                <w:szCs w:val="30"/>
              </w:rPr>
            </w:pPr>
            <w:r>
              <w:rPr>
                <w:rFonts w:ascii="Times New Roman" w:hAnsi="Times New Roman" w:eastAsia="仿宋_GB2312"/>
                <w:sz w:val="30"/>
                <w:szCs w:val="30"/>
              </w:rPr>
              <w:t>1、凡申报职称的人员均应对本人所提供的证书及证明材料</w:t>
            </w:r>
          </w:p>
          <w:p>
            <w:pPr>
              <w:spacing w:line="400" w:lineRule="exact"/>
              <w:ind w:firstLine="300" w:firstLineChars="100"/>
              <w:rPr>
                <w:rFonts w:ascii="Times New Roman" w:hAnsi="Times New Roman" w:eastAsia="仿宋_GB2312"/>
                <w:sz w:val="30"/>
                <w:szCs w:val="30"/>
              </w:rPr>
            </w:pPr>
            <w:r>
              <w:rPr>
                <w:rFonts w:ascii="Times New Roman" w:hAnsi="Times New Roman" w:eastAsia="仿宋_GB2312"/>
                <w:sz w:val="30"/>
                <w:szCs w:val="30"/>
              </w:rPr>
              <w:t>的真实性作出承诺，否则不予受理；</w:t>
            </w:r>
          </w:p>
          <w:p>
            <w:pPr>
              <w:spacing w:line="400" w:lineRule="exact"/>
              <w:rPr>
                <w:rFonts w:ascii="Times New Roman" w:hAnsi="Times New Roman" w:eastAsia="仿宋_GB2312"/>
                <w:sz w:val="30"/>
                <w:szCs w:val="30"/>
              </w:rPr>
            </w:pPr>
            <w:r>
              <w:rPr>
                <w:rFonts w:ascii="Times New Roman" w:hAnsi="Times New Roman" w:eastAsia="仿宋_GB2312"/>
                <w:sz w:val="30"/>
                <w:szCs w:val="30"/>
              </w:rPr>
              <w:t>2、申报者和单位负责人须亲自签名，代签无效；</w:t>
            </w:r>
          </w:p>
          <w:p>
            <w:pPr>
              <w:spacing w:line="400" w:lineRule="exact"/>
              <w:rPr>
                <w:rFonts w:ascii="Times New Roman" w:hAnsi="Times New Roman" w:eastAsia="仿宋_GB2312"/>
                <w:sz w:val="30"/>
                <w:szCs w:val="30"/>
              </w:rPr>
            </w:pPr>
            <w:r>
              <w:rPr>
                <w:rFonts w:ascii="Times New Roman" w:hAnsi="Times New Roman" w:eastAsia="仿宋_GB2312"/>
                <w:sz w:val="30"/>
                <w:szCs w:val="30"/>
              </w:rPr>
              <w:t>3、此承诺书随申报材料一并上报。</w:t>
            </w:r>
          </w:p>
        </w:tc>
      </w:tr>
    </w:tbl>
    <w:p>
      <w:pPr>
        <w:ind w:firstLine="640" w:firstLineChars="200"/>
        <w:rPr>
          <w:rFonts w:ascii="Times New Roman" w:hAnsi="Times New Roman" w:eastAsia="仿宋_GB2312"/>
          <w:color w:val="000000"/>
          <w:kern w:val="0"/>
          <w:sz w:val="32"/>
          <w:szCs w:val="32"/>
        </w:rPr>
      </w:pPr>
    </w:p>
    <w:p>
      <w:pPr>
        <w:rPr>
          <w:rFonts w:hint="eastAsia" w:ascii="Times New Roman" w:hAnsi="Times New Roman" w:eastAsia="黑体"/>
          <w:color w:val="000000"/>
          <w:kern w:val="0"/>
          <w:sz w:val="32"/>
          <w:szCs w:val="32"/>
        </w:rPr>
      </w:pPr>
    </w:p>
    <w:p>
      <w:pPr>
        <w:rPr>
          <w:rFonts w:hint="eastAsia" w:ascii="Times New Roman" w:hAnsi="Times New Roman" w:eastAsia="黑体"/>
          <w:color w:val="000000"/>
          <w:kern w:val="0"/>
          <w:sz w:val="32"/>
          <w:szCs w:val="32"/>
        </w:rPr>
      </w:pPr>
    </w:p>
    <w:p>
      <w:pPr>
        <w:rPr>
          <w:rFonts w:hint="eastAsia" w:ascii="Times New Roman" w:hAnsi="Times New Roman" w:eastAsia="黑体"/>
          <w:color w:val="000000"/>
          <w:kern w:val="0"/>
          <w:sz w:val="32"/>
          <w:szCs w:val="32"/>
        </w:rPr>
      </w:pPr>
    </w:p>
    <w:p>
      <w:pPr>
        <w:rPr>
          <w:rFonts w:hint="eastAsia" w:ascii="Times New Roman" w:hAnsi="Times New Roman" w:eastAsia="黑体"/>
          <w:color w:val="000000"/>
          <w:kern w:val="0"/>
          <w:sz w:val="32"/>
          <w:szCs w:val="32"/>
        </w:rPr>
      </w:pPr>
      <w:bookmarkStart w:id="3" w:name="_GoBack"/>
      <w:bookmarkEnd w:id="3"/>
    </w:p>
    <w:p>
      <w:pPr>
        <w:rPr>
          <w:rFonts w:ascii="Times New Roman" w:hAnsi="Times New Roman" w:eastAsia="仿宋_GB2312"/>
          <w:color w:val="000000"/>
          <w:kern w:val="0"/>
          <w:sz w:val="32"/>
          <w:szCs w:val="32"/>
        </w:rPr>
      </w:pPr>
      <w:r>
        <w:rPr>
          <w:rFonts w:ascii="Times New Roman" w:hAnsi="Times New Roman" w:eastAsia="黑体"/>
          <w:color w:val="000000"/>
          <w:kern w:val="0"/>
          <w:sz w:val="32"/>
          <w:szCs w:val="32"/>
        </w:rPr>
        <w:t>附件</w:t>
      </w:r>
      <w:r>
        <w:rPr>
          <w:rFonts w:ascii="Times New Roman" w:hAnsi="Times New Roman" w:eastAsia="仿宋_GB2312"/>
          <w:color w:val="000000"/>
          <w:kern w:val="0"/>
          <w:sz w:val="32"/>
          <w:szCs w:val="32"/>
        </w:rPr>
        <w:t>2</w:t>
      </w:r>
    </w:p>
    <w:p>
      <w:pPr>
        <w:spacing w:line="240" w:lineRule="exact"/>
        <w:ind w:firstLine="3005" w:firstLineChars="683"/>
        <w:rPr>
          <w:rFonts w:hint="eastAsia" w:ascii="Times New Roman" w:hAnsi="Times New Roman" w:eastAsia="方正小标宋简体"/>
          <w:bCs/>
          <w:color w:val="000000"/>
          <w:kern w:val="0"/>
          <w:sz w:val="44"/>
          <w:szCs w:val="44"/>
        </w:rPr>
      </w:pPr>
    </w:p>
    <w:p>
      <w:pPr>
        <w:spacing w:line="572" w:lineRule="exact"/>
        <w:ind w:firstLine="3005" w:firstLineChars="683"/>
        <w:rPr>
          <w:rFonts w:hint="eastAsia" w:ascii="Times New Roman" w:hAnsi="Times New Roman" w:eastAsia="方正小标宋简体"/>
          <w:bCs/>
          <w:color w:val="000000"/>
          <w:kern w:val="0"/>
          <w:sz w:val="44"/>
          <w:szCs w:val="44"/>
        </w:rPr>
      </w:pPr>
      <w:r>
        <w:rPr>
          <w:rFonts w:ascii="Times New Roman" w:hAnsi="Times New Roman" w:eastAsia="方正小标宋简体"/>
          <w:bCs/>
          <w:color w:val="000000"/>
          <w:kern w:val="0"/>
          <w:sz w:val="44"/>
          <w:szCs w:val="44"/>
        </w:rPr>
        <w:t>论文期刊信息表</w:t>
      </w:r>
    </w:p>
    <w:p>
      <w:pPr>
        <w:spacing w:line="240" w:lineRule="exact"/>
        <w:ind w:firstLine="3005" w:firstLineChars="683"/>
        <w:rPr>
          <w:rFonts w:hint="eastAsia" w:ascii="Times New Roman" w:hAnsi="Times New Roman" w:eastAsia="方正小标宋简体"/>
          <w:bCs/>
          <w:color w:val="000000"/>
          <w:kern w:val="0"/>
          <w:sz w:val="44"/>
          <w:szCs w:val="44"/>
        </w:rPr>
      </w:pPr>
    </w:p>
    <w:tbl>
      <w:tblPr>
        <w:tblStyle w:val="3"/>
        <w:tblW w:w="9885"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1653"/>
        <w:gridCol w:w="1634"/>
        <w:gridCol w:w="1679"/>
        <w:gridCol w:w="1740"/>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trPr>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000000"/>
                <w:kern w:val="0"/>
                <w:sz w:val="28"/>
                <w:szCs w:val="28"/>
              </w:rPr>
            </w:pPr>
            <w:r>
              <w:rPr>
                <w:rFonts w:ascii="Times New Roman" w:hAnsi="黑体" w:eastAsia="黑体"/>
                <w:color w:val="000000"/>
                <w:kern w:val="0"/>
                <w:sz w:val="28"/>
                <w:szCs w:val="28"/>
              </w:rPr>
              <w:t>姓名</w:t>
            </w:r>
          </w:p>
        </w:tc>
        <w:tc>
          <w:tcPr>
            <w:tcW w:w="32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000000"/>
                <w:kern w:val="0"/>
                <w:sz w:val="28"/>
                <w:szCs w:val="28"/>
              </w:rPr>
            </w:pPr>
          </w:p>
        </w:tc>
        <w:tc>
          <w:tcPr>
            <w:tcW w:w="167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000000"/>
                <w:kern w:val="0"/>
                <w:sz w:val="28"/>
                <w:szCs w:val="28"/>
              </w:rPr>
            </w:pPr>
            <w:r>
              <w:rPr>
                <w:rFonts w:ascii="Times New Roman" w:hAnsi="黑体" w:eastAsia="黑体"/>
                <w:color w:val="000000"/>
                <w:kern w:val="0"/>
                <w:sz w:val="28"/>
                <w:szCs w:val="28"/>
              </w:rPr>
              <w:t>工作单位</w:t>
            </w:r>
          </w:p>
        </w:tc>
        <w:tc>
          <w:tcPr>
            <w:tcW w:w="348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000000"/>
                <w:kern w:val="0"/>
                <w:sz w:val="28"/>
                <w:szCs w:val="28"/>
              </w:rPr>
            </w:pPr>
            <w:r>
              <w:rPr>
                <w:rFonts w:ascii="Times New Roman" w:hAnsi="黑体" w:eastAsia="黑体"/>
                <w:color w:val="000000"/>
                <w:kern w:val="0"/>
                <w:sz w:val="28"/>
                <w:szCs w:val="28"/>
              </w:rPr>
              <w:t>论文标题</w:t>
            </w:r>
          </w:p>
        </w:tc>
        <w:tc>
          <w:tcPr>
            <w:tcW w:w="32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000000"/>
                <w:kern w:val="0"/>
                <w:sz w:val="28"/>
                <w:szCs w:val="28"/>
              </w:rPr>
            </w:pPr>
          </w:p>
        </w:tc>
        <w:tc>
          <w:tcPr>
            <w:tcW w:w="16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黑体"/>
                <w:color w:val="000000"/>
                <w:kern w:val="0"/>
                <w:sz w:val="28"/>
                <w:szCs w:val="28"/>
              </w:rPr>
            </w:pPr>
            <w:r>
              <w:rPr>
                <w:rFonts w:ascii="Times New Roman" w:hAnsi="黑体" w:eastAsia="黑体"/>
                <w:color w:val="000000"/>
                <w:kern w:val="0"/>
                <w:sz w:val="28"/>
                <w:szCs w:val="28"/>
              </w:rPr>
              <w:t>论文发表</w:t>
            </w:r>
          </w:p>
          <w:p>
            <w:pPr>
              <w:spacing w:line="400" w:lineRule="exact"/>
              <w:jc w:val="center"/>
              <w:rPr>
                <w:rFonts w:ascii="Times New Roman" w:hAnsi="Times New Roman" w:eastAsia="黑体"/>
                <w:color w:val="000000"/>
                <w:kern w:val="0"/>
                <w:sz w:val="28"/>
                <w:szCs w:val="28"/>
              </w:rPr>
            </w:pPr>
            <w:r>
              <w:rPr>
                <w:rFonts w:ascii="Times New Roman" w:hAnsi="黑体" w:eastAsia="黑体"/>
                <w:color w:val="000000"/>
                <w:kern w:val="0"/>
                <w:sz w:val="28"/>
                <w:szCs w:val="28"/>
              </w:rPr>
              <w:t>时间</w:t>
            </w:r>
          </w:p>
        </w:tc>
        <w:tc>
          <w:tcPr>
            <w:tcW w:w="3481"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黑体"/>
                <w:color w:val="000000"/>
                <w:kern w:val="0"/>
                <w:sz w:val="28"/>
                <w:szCs w:val="28"/>
              </w:rPr>
            </w:pPr>
            <w:r>
              <w:rPr>
                <w:rFonts w:ascii="Times New Roman" w:hAnsi="Times New Roman" w:eastAsia="黑体"/>
                <w:color w:val="000000"/>
                <w:kern w:val="0"/>
                <w:sz w:val="28"/>
                <w:szCs w:val="28"/>
              </w:rPr>
              <w:t xml:space="preserve">       </w:t>
            </w:r>
            <w:r>
              <w:rPr>
                <w:rFonts w:ascii="Times New Roman" w:hAnsi="黑体" w:eastAsia="黑体"/>
                <w:color w:val="000000"/>
                <w:kern w:val="0"/>
                <w:sz w:val="28"/>
                <w:szCs w:val="28"/>
              </w:rPr>
              <w:t>年</w:t>
            </w:r>
            <w:r>
              <w:rPr>
                <w:rFonts w:ascii="Times New Roman" w:hAnsi="Times New Roman" w:eastAsia="黑体"/>
                <w:color w:val="000000"/>
                <w:kern w:val="0"/>
                <w:sz w:val="28"/>
                <w:szCs w:val="28"/>
              </w:rPr>
              <w:t xml:space="preserve">   </w:t>
            </w:r>
            <w:r>
              <w:rPr>
                <w:rFonts w:ascii="Times New Roman" w:hAnsi="黑体" w:eastAsia="黑体"/>
                <w:color w:val="000000"/>
                <w:kern w:val="0"/>
                <w:sz w:val="28"/>
                <w:szCs w:val="28"/>
              </w:rPr>
              <w:t>月第</w:t>
            </w:r>
            <w:r>
              <w:rPr>
                <w:rFonts w:ascii="Times New Roman" w:hAnsi="Times New Roman" w:eastAsia="黑体"/>
                <w:color w:val="000000"/>
                <w:kern w:val="0"/>
                <w:sz w:val="28"/>
                <w:szCs w:val="28"/>
              </w:rPr>
              <w:t xml:space="preserve">   </w:t>
            </w:r>
            <w:r>
              <w:rPr>
                <w:rFonts w:ascii="Times New Roman" w:hAnsi="黑体" w:eastAsia="黑体"/>
                <w:color w:val="000000"/>
                <w:kern w:val="0"/>
                <w:sz w:val="28"/>
                <w:szCs w:val="28"/>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000000"/>
                <w:kern w:val="0"/>
                <w:sz w:val="28"/>
                <w:szCs w:val="28"/>
              </w:rPr>
            </w:pPr>
            <w:r>
              <w:rPr>
                <w:rFonts w:ascii="Times New Roman" w:hAnsi="黑体" w:eastAsia="黑体"/>
                <w:color w:val="000000"/>
                <w:kern w:val="0"/>
                <w:sz w:val="28"/>
                <w:szCs w:val="28"/>
              </w:rPr>
              <w:t>刊物名称</w:t>
            </w:r>
          </w:p>
        </w:tc>
        <w:tc>
          <w:tcPr>
            <w:tcW w:w="32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000000"/>
                <w:kern w:val="0"/>
                <w:sz w:val="28"/>
                <w:szCs w:val="28"/>
              </w:rPr>
            </w:pPr>
          </w:p>
        </w:tc>
        <w:tc>
          <w:tcPr>
            <w:tcW w:w="167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000000"/>
                <w:kern w:val="0"/>
                <w:sz w:val="28"/>
                <w:szCs w:val="28"/>
              </w:rPr>
            </w:pPr>
            <w:r>
              <w:rPr>
                <w:rFonts w:ascii="Times New Roman" w:hAnsi="黑体" w:eastAsia="黑体"/>
                <w:color w:val="000000"/>
                <w:kern w:val="0"/>
                <w:sz w:val="28"/>
                <w:szCs w:val="28"/>
              </w:rPr>
              <w:t>刊号</w:t>
            </w:r>
          </w:p>
        </w:tc>
        <w:tc>
          <w:tcPr>
            <w:tcW w:w="174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黑体"/>
                <w:color w:val="000000"/>
                <w:kern w:val="0"/>
                <w:sz w:val="28"/>
                <w:szCs w:val="28"/>
              </w:rPr>
            </w:pPr>
            <w:r>
              <w:rPr>
                <w:rFonts w:ascii="Times New Roman" w:hAnsi="Times New Roman" w:eastAsia="黑体"/>
                <w:color w:val="000000"/>
                <w:kern w:val="0"/>
                <w:sz w:val="28"/>
                <w:szCs w:val="28"/>
              </w:rPr>
              <w:t>CN</w:t>
            </w:r>
            <w:r>
              <w:rPr>
                <w:rFonts w:ascii="Times New Roman" w:hAnsi="黑体" w:eastAsia="黑体"/>
                <w:color w:val="000000"/>
                <w:kern w:val="0"/>
                <w:sz w:val="28"/>
                <w:szCs w:val="28"/>
              </w:rPr>
              <w:t>：</w:t>
            </w:r>
          </w:p>
        </w:tc>
        <w:tc>
          <w:tcPr>
            <w:tcW w:w="174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黑体"/>
                <w:color w:val="000000"/>
                <w:kern w:val="0"/>
                <w:sz w:val="28"/>
                <w:szCs w:val="28"/>
              </w:rPr>
            </w:pPr>
            <w:r>
              <w:rPr>
                <w:rFonts w:ascii="Times New Roman" w:hAnsi="Times New Roman" w:eastAsia="黑体"/>
                <w:color w:val="000000"/>
                <w:kern w:val="0"/>
                <w:sz w:val="28"/>
                <w:szCs w:val="28"/>
              </w:rPr>
              <w:t>ISSN</w:t>
            </w:r>
            <w:r>
              <w:rPr>
                <w:rFonts w:ascii="Times New Roman" w:hAnsi="黑体" w:eastAsia="黑体"/>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trPr>
        <w:tc>
          <w:tcPr>
            <w:tcW w:w="14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黑体"/>
                <w:color w:val="000000"/>
                <w:kern w:val="0"/>
                <w:sz w:val="28"/>
                <w:szCs w:val="28"/>
              </w:rPr>
            </w:pPr>
            <w:r>
              <w:rPr>
                <w:rFonts w:ascii="Times New Roman" w:hAnsi="黑体" w:eastAsia="黑体"/>
                <w:color w:val="000000"/>
                <w:kern w:val="0"/>
                <w:sz w:val="28"/>
                <w:szCs w:val="28"/>
              </w:rPr>
              <w:t>刊物</w:t>
            </w:r>
          </w:p>
          <w:p>
            <w:pPr>
              <w:spacing w:line="400" w:lineRule="exact"/>
              <w:jc w:val="center"/>
              <w:rPr>
                <w:rFonts w:ascii="Times New Roman" w:hAnsi="Times New Roman" w:eastAsia="黑体"/>
                <w:color w:val="000000"/>
                <w:kern w:val="0"/>
                <w:sz w:val="28"/>
                <w:szCs w:val="28"/>
              </w:rPr>
            </w:pPr>
            <w:r>
              <w:rPr>
                <w:rFonts w:ascii="Times New Roman" w:hAnsi="黑体" w:eastAsia="黑体"/>
                <w:color w:val="000000"/>
                <w:kern w:val="0"/>
                <w:sz w:val="28"/>
                <w:szCs w:val="28"/>
              </w:rPr>
              <w:t>创刊日期</w:t>
            </w:r>
          </w:p>
        </w:tc>
        <w:tc>
          <w:tcPr>
            <w:tcW w:w="328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黑体"/>
                <w:color w:val="000000"/>
                <w:kern w:val="0"/>
                <w:sz w:val="28"/>
                <w:szCs w:val="28"/>
              </w:rPr>
            </w:pPr>
          </w:p>
        </w:tc>
        <w:tc>
          <w:tcPr>
            <w:tcW w:w="16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黑体"/>
                <w:color w:val="000000"/>
                <w:kern w:val="0"/>
                <w:sz w:val="28"/>
                <w:szCs w:val="28"/>
              </w:rPr>
            </w:pPr>
            <w:r>
              <w:rPr>
                <w:rFonts w:ascii="Times New Roman" w:hAnsi="黑体" w:eastAsia="黑体"/>
                <w:color w:val="000000"/>
                <w:kern w:val="0"/>
                <w:sz w:val="28"/>
                <w:szCs w:val="28"/>
              </w:rPr>
              <w:t>刊物</w:t>
            </w:r>
          </w:p>
          <w:p>
            <w:pPr>
              <w:spacing w:line="400" w:lineRule="exact"/>
              <w:jc w:val="center"/>
              <w:rPr>
                <w:rFonts w:ascii="Times New Roman" w:hAnsi="Times New Roman" w:eastAsia="黑体"/>
                <w:color w:val="000000"/>
                <w:kern w:val="0"/>
                <w:sz w:val="28"/>
                <w:szCs w:val="28"/>
              </w:rPr>
            </w:pPr>
            <w:r>
              <w:rPr>
                <w:rFonts w:ascii="Times New Roman" w:hAnsi="黑体" w:eastAsia="黑体"/>
                <w:color w:val="000000"/>
                <w:kern w:val="0"/>
                <w:sz w:val="28"/>
                <w:szCs w:val="28"/>
              </w:rPr>
              <w:t>出版周期</w:t>
            </w:r>
          </w:p>
        </w:tc>
        <w:tc>
          <w:tcPr>
            <w:tcW w:w="348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黑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9" w:hRule="atLeast"/>
        </w:trPr>
        <w:tc>
          <w:tcPr>
            <w:tcW w:w="14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黑体"/>
                <w:color w:val="000000"/>
                <w:kern w:val="0"/>
                <w:sz w:val="28"/>
                <w:szCs w:val="28"/>
              </w:rPr>
            </w:pPr>
            <w:r>
              <w:rPr>
                <w:rFonts w:ascii="Times New Roman" w:hAnsi="黑体" w:eastAsia="黑体"/>
                <w:color w:val="000000"/>
                <w:kern w:val="0"/>
                <w:sz w:val="28"/>
                <w:szCs w:val="28"/>
              </w:rPr>
              <w:t>刊物</w:t>
            </w:r>
          </w:p>
          <w:p>
            <w:pPr>
              <w:spacing w:line="400" w:lineRule="exact"/>
              <w:jc w:val="center"/>
              <w:rPr>
                <w:rFonts w:ascii="Times New Roman" w:hAnsi="Times New Roman" w:eastAsia="黑体"/>
                <w:color w:val="000000"/>
                <w:kern w:val="0"/>
                <w:sz w:val="28"/>
                <w:szCs w:val="28"/>
              </w:rPr>
            </w:pPr>
            <w:r>
              <w:rPr>
                <w:rFonts w:ascii="Times New Roman" w:hAnsi="黑体" w:eastAsia="黑体"/>
                <w:color w:val="000000"/>
                <w:kern w:val="0"/>
                <w:sz w:val="28"/>
                <w:szCs w:val="28"/>
              </w:rPr>
              <w:t>编辑部</w:t>
            </w:r>
          </w:p>
        </w:tc>
        <w:tc>
          <w:tcPr>
            <w:tcW w:w="16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黑体"/>
                <w:color w:val="000000"/>
                <w:kern w:val="0"/>
                <w:sz w:val="28"/>
                <w:szCs w:val="28"/>
              </w:rPr>
            </w:pPr>
          </w:p>
        </w:tc>
        <w:tc>
          <w:tcPr>
            <w:tcW w:w="16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黑体"/>
                <w:color w:val="000000"/>
                <w:kern w:val="0"/>
                <w:sz w:val="28"/>
                <w:szCs w:val="28"/>
              </w:rPr>
            </w:pPr>
            <w:r>
              <w:rPr>
                <w:rFonts w:ascii="Times New Roman" w:hAnsi="黑体" w:eastAsia="黑体"/>
                <w:color w:val="000000"/>
                <w:kern w:val="0"/>
                <w:sz w:val="28"/>
                <w:szCs w:val="28"/>
              </w:rPr>
              <w:t>刊物编辑部联系电话</w:t>
            </w:r>
          </w:p>
        </w:tc>
        <w:tc>
          <w:tcPr>
            <w:tcW w:w="16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黑体"/>
                <w:color w:val="000000"/>
                <w:kern w:val="0"/>
                <w:sz w:val="28"/>
                <w:szCs w:val="28"/>
              </w:rPr>
            </w:pPr>
          </w:p>
        </w:tc>
        <w:tc>
          <w:tcPr>
            <w:tcW w:w="17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黑体"/>
                <w:color w:val="000000"/>
                <w:kern w:val="0"/>
                <w:sz w:val="28"/>
                <w:szCs w:val="28"/>
              </w:rPr>
            </w:pPr>
            <w:r>
              <w:rPr>
                <w:rFonts w:ascii="Times New Roman" w:hAnsi="黑体" w:eastAsia="黑体"/>
                <w:color w:val="000000"/>
                <w:kern w:val="0"/>
                <w:sz w:val="28"/>
                <w:szCs w:val="28"/>
              </w:rPr>
              <w:t>刊物发行</w:t>
            </w:r>
          </w:p>
          <w:p>
            <w:pPr>
              <w:spacing w:line="400" w:lineRule="exact"/>
              <w:jc w:val="center"/>
              <w:rPr>
                <w:rFonts w:ascii="Times New Roman" w:hAnsi="Times New Roman" w:eastAsia="黑体"/>
                <w:color w:val="000000"/>
                <w:kern w:val="0"/>
                <w:sz w:val="28"/>
                <w:szCs w:val="28"/>
              </w:rPr>
            </w:pPr>
            <w:r>
              <w:rPr>
                <w:rFonts w:ascii="Times New Roman" w:hAnsi="黑体" w:eastAsia="黑体"/>
                <w:color w:val="000000"/>
                <w:kern w:val="0"/>
                <w:sz w:val="28"/>
                <w:szCs w:val="28"/>
              </w:rPr>
              <w:t>方式</w:t>
            </w:r>
          </w:p>
        </w:tc>
        <w:tc>
          <w:tcPr>
            <w:tcW w:w="17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黑体"/>
                <w:color w:val="000000"/>
                <w:kern w:val="0"/>
                <w:sz w:val="28"/>
                <w:szCs w:val="28"/>
              </w:rPr>
            </w:pPr>
          </w:p>
        </w:tc>
      </w:tr>
    </w:tbl>
    <w:p>
      <w:pP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备注：每篇论文填一个表，</w:t>
      </w:r>
      <w:r>
        <w:rPr>
          <w:rFonts w:ascii="Times New Roman" w:hAnsi="Times New Roman" w:eastAsia="仿宋_GB2312"/>
          <w:sz w:val="30"/>
          <w:szCs w:val="30"/>
        </w:rPr>
        <w:t>随申报材料一并上报</w:t>
      </w:r>
      <w:r>
        <w:rPr>
          <w:rFonts w:ascii="Times New Roman" w:hAnsi="Times New Roman" w:eastAsia="仿宋_GB2312"/>
          <w:color w:val="000000"/>
          <w:kern w:val="0"/>
          <w:sz w:val="32"/>
          <w:szCs w:val="32"/>
        </w:rPr>
        <w:t>。</w:t>
      </w:r>
    </w:p>
    <w:p>
      <w:pPr>
        <w:spacing w:line="572" w:lineRule="exact"/>
        <w:rPr>
          <w:rFonts w:ascii="Times New Roman" w:hAnsi="Times New Roman" w:eastAsia="仿宋_GB2312"/>
          <w:sz w:val="32"/>
          <w:szCs w:val="32"/>
        </w:rPr>
      </w:pPr>
    </w:p>
    <w:p>
      <w:pPr>
        <w:spacing w:line="600" w:lineRule="exact"/>
        <w:ind w:firstLine="600"/>
        <w:rPr>
          <w:rFonts w:ascii="Times New Roman" w:hAnsi="Times New Roman" w:eastAsia="仿宋_GB2312"/>
          <w:kern w:val="0"/>
          <w:sz w:val="32"/>
          <w:szCs w:val="32"/>
        </w:rPr>
      </w:pPr>
    </w:p>
    <w:p>
      <w:pPr>
        <w:spacing w:line="600" w:lineRule="exact"/>
        <w:ind w:firstLine="600"/>
        <w:rPr>
          <w:rFonts w:ascii="Times New Roman" w:hAnsi="Times New Roman" w:eastAsia="仿宋_GB2312"/>
          <w:b/>
          <w:sz w:val="32"/>
          <w:szCs w:val="32"/>
        </w:rPr>
      </w:pPr>
    </w:p>
    <w:p>
      <w:pPr>
        <w:spacing w:line="600" w:lineRule="exact"/>
        <w:jc w:val="center"/>
        <w:rPr>
          <w:rFonts w:ascii="Times New Roman" w:hAnsi="Times New Roman" w:eastAsia="仿宋_GB2312"/>
          <w:sz w:val="32"/>
          <w:szCs w:val="32"/>
        </w:rPr>
      </w:pPr>
      <w:r>
        <w:rPr>
          <w:rFonts w:ascii="Times New Roman" w:hAnsi="Times New Roman" w:eastAsia="仿宋_GB2312"/>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DCEA49"/>
    <w:multiLevelType w:val="singleLevel"/>
    <w:tmpl w:val="5CDCEA49"/>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656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高翀</cp:lastModifiedBy>
  <dcterms:modified xsi:type="dcterms:W3CDTF">2023-11-23T09:28:12Z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