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2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广东省202</w:t>
      </w: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</w:t>
      </w: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eastAsia="zh-CN"/>
        </w:rPr>
        <w:t>长制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湖长制</w:t>
      </w: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eastAsia="zh-CN"/>
        </w:rPr>
        <w:t>督查激励工作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拟激励</w:t>
      </w: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江门鹤山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自全面推行河湖长制工作以来，广东省江门市在省内四次考核第一名。鹤山市河湖长制工作特点突出，工作扎实，成效显著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7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创新全链条河湖管护机制。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省第一个设立县级河长制专项资金，每年安排3000万元，用于河湖管护。建立明查暗访和涉水“红黑榜”曝光机制，率先建立县镇两级河长制述职和水质考核问责机制，率先完成岸线规划和河湖划界工作。鹤山市水利局获评2022年度“全国依法治理创建活动先进单位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7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推进全方位河湖生态保护治理。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300多宗河湖“四乱”和“碍洪”问题整治全部完成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，助力成功抵御2005年以来西北江最大洪水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。引入社会资本参与沙坪河综合整治等工程建设，河湖治理项目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“广东省首届国土空间生态修复十大范例”。中央和省年度水利投资计划完成率、农村自来水覆盖率、自然村生活污水治理覆盖率、国省考断面和县级以上集中式饮用水水源水质优良率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7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全力打造强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富绿美新县域。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大力发展“治水+文旅”新业态，古劳水乡每年接待游客超200万人次，为全省推深做实河湖长制和打造强富绿美新县域提供“鹤山样板”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7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营造全社会共治格局。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“河长+河长助理+民间河长+河道巡查保洁员+护河志愿者”全方位工作体系，建成全省首个县级河长制科普教育展厅，创新成立“民间河长”工作室，实现治水管水共建共治共享全覆盖。1名河长获评“全国优秀河（湖）长”，1名“民间河长”获评全国“最美民间河湖卫士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572" w:lineRule="exact"/>
      <w:jc w:val="center"/>
      <w:outlineLvl w:val="2"/>
    </w:pPr>
    <w:rPr>
      <w:rFonts w:ascii="宋体" w:hAnsi="宋体" w:eastAsia="方正小标宋简体" w:cs="宋体"/>
      <w:kern w:val="2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hfh</dc:creator>
  <cp:lastModifiedBy>黄锋华</cp:lastModifiedBy>
  <dcterms:modified xsi:type="dcterms:W3CDTF">2023-01-09T01:15:57Z</dcterms:modified>
  <dc:title>广东省2022年度河长制湖长制督查激励工作拟激励县推荐材料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