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2021年度广东省工程系列水利水电专业高级职称评审委员会正高级工程师职称资格评审通过人员评后公示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w:t>
      </w:r>
      <w:r>
        <w:rPr>
          <w:rFonts w:hint="eastAsia" w:ascii="Times New Roman" w:hAnsi="Times New Roman" w:eastAsia="仿宋_GB2312" w:cs="Times New Roman"/>
          <w:sz w:val="32"/>
          <w:szCs w:val="32"/>
          <w:lang w:val="en-US" w:eastAsia="zh-CN"/>
        </w:rPr>
        <w:t>广东省人力资源和社会保障厅《关于印发&lt;广东省职称评审管理服务实施办法及配套规定&gt;的通知》要求</w:t>
      </w:r>
      <w:bookmarkStart w:id="0" w:name="_GoBack"/>
      <w:bookmarkEnd w:id="0"/>
      <w:r>
        <w:rPr>
          <w:rFonts w:hint="eastAsia" w:ascii="Times New Roman" w:hAnsi="Times New Roman" w:eastAsia="仿宋_GB2312" w:cs="Times New Roman"/>
          <w:sz w:val="32"/>
          <w:szCs w:val="32"/>
        </w:rPr>
        <w:t>，现对本单位今年申报工程系列水利水电专业并经评审通过的×××等人员（名单见附件）进行公示。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公示时间从2022年×月×日至×月×日（5个工作日）。若对通过人员取得资格有异议，请在公示时间内电话或书面向本单位反映。反映情况的电话和书面材料要自报或签署真实姓名（姓名须用手写，不得用电脑打印），不报或不签署真实姓名的，以及公示时间截止后（以寄出邮戳为准）反映的材料不予受理。</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地址：</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（单位落款盖章）</w:t>
      </w:r>
    </w:p>
    <w:p>
      <w:pPr>
        <w:keepNext w:val="0"/>
        <w:keepLines w:val="0"/>
        <w:pageBreakBefore w:val="0"/>
        <w:widowControl w:val="0"/>
        <w:kinsoku/>
        <w:wordWrap/>
        <w:overflowPunct/>
        <w:topLinePunct w:val="0"/>
        <w:autoSpaceDE/>
        <w:autoSpaceDN/>
        <w:bidi w:val="0"/>
        <w:adjustRightInd/>
        <w:snapToGrid/>
        <w:spacing w:line="572" w:lineRule="exact"/>
        <w:ind w:right="0" w:rightChars="0" w:firstLine="5440" w:firstLineChars="17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  月  日</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21</w:t>
      </w:r>
      <w:r>
        <w:rPr>
          <w:rFonts w:hint="eastAsia" w:ascii="方正小标宋简体" w:hAnsi="方正小标宋简体" w:eastAsia="方正小标宋简体" w:cs="方正小标宋简体"/>
          <w:b w:val="0"/>
          <w:bCs/>
          <w:sz w:val="36"/>
          <w:szCs w:val="36"/>
        </w:rPr>
        <w:t>年度广东省工程系列水利水电专业高级职称</w:t>
      </w:r>
      <w:r>
        <w:rPr>
          <w:rFonts w:hint="eastAsia" w:ascii="方正小标宋简体" w:hAnsi="方正小标宋简体" w:eastAsia="方正小标宋简体" w:cs="方正小标宋简体"/>
          <w:b w:val="0"/>
          <w:bCs/>
          <w:spacing w:val="-11"/>
          <w:sz w:val="36"/>
          <w:szCs w:val="36"/>
        </w:rPr>
        <w:t>评审委员会</w:t>
      </w:r>
      <w:r>
        <w:rPr>
          <w:rFonts w:hint="eastAsia" w:ascii="方正小标宋简体" w:hAnsi="方正小标宋简体" w:eastAsia="方正小标宋简体" w:cs="方正小标宋简体"/>
          <w:b w:val="0"/>
          <w:bCs/>
          <w:spacing w:val="-11"/>
          <w:sz w:val="36"/>
          <w:szCs w:val="36"/>
          <w:lang w:val="en-US" w:eastAsia="zh-CN"/>
        </w:rPr>
        <w:t>正高级</w:t>
      </w:r>
      <w:r>
        <w:rPr>
          <w:rFonts w:hint="eastAsia" w:ascii="方正小标宋简体" w:hAnsi="方正小标宋简体" w:eastAsia="方正小标宋简体" w:cs="方正小标宋简体"/>
          <w:b w:val="0"/>
          <w:bCs/>
          <w:spacing w:val="-11"/>
          <w:sz w:val="36"/>
          <w:szCs w:val="36"/>
        </w:rPr>
        <w:t>工程师职称资格评审通过人员名单</w:t>
      </w:r>
    </w:p>
    <w:p>
      <w:pPr>
        <w:rPr>
          <w:rFonts w:hint="eastAsia" w:ascii="微软简标宋" w:eastAsia="微软简标宋"/>
          <w:szCs w:val="21"/>
        </w:rPr>
      </w:pPr>
    </w:p>
    <w:tbl>
      <w:tblPr>
        <w:tblStyle w:val="3"/>
        <w:tblW w:w="9960" w:type="dxa"/>
        <w:tblInd w:w="-612" w:type="dxa"/>
        <w:tblLayout w:type="fixed"/>
        <w:tblCellMar>
          <w:top w:w="0" w:type="dxa"/>
          <w:left w:w="108" w:type="dxa"/>
          <w:bottom w:w="0" w:type="dxa"/>
          <w:right w:w="108" w:type="dxa"/>
        </w:tblCellMar>
      </w:tblPr>
      <w:tblGrid>
        <w:gridCol w:w="900"/>
        <w:gridCol w:w="1340"/>
        <w:gridCol w:w="1795"/>
        <w:gridCol w:w="3885"/>
        <w:gridCol w:w="2040"/>
      </w:tblGrid>
      <w:tr>
        <w:tblPrEx>
          <w:tblLayout w:type="fixed"/>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3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17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38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申报人工作单位</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拟获技术资格</w:t>
            </w: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8"/>
                <w:szCs w:val="28"/>
              </w:rPr>
            </w:pPr>
          </w:p>
        </w:tc>
        <w:tc>
          <w:tcPr>
            <w:tcW w:w="13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bl>
    <w:p>
      <w:pPr>
        <w:rPr>
          <w:rFonts w:hint="eastAsia" w:eastAsia="仿宋_GB2312"/>
          <w:sz w:val="32"/>
          <w:szCs w:val="32"/>
        </w:rPr>
      </w:pPr>
    </w:p>
    <w:p>
      <w:pPr>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slxh</dc:creator>
  <cp:lastModifiedBy>赵蓁蓁(拟稿人校对或发文)</cp:lastModifiedBy>
  <dcterms:modified xsi:type="dcterms:W3CDTF">2022-05-26T03:32:38Z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