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实施新建梅州至龙川铁路先期开工段（</w:t>
      </w:r>
      <w:r>
        <w:rPr>
          <w:rFonts w:hint="eastAsia" w:ascii="方正小标宋简体" w:eastAsia="方正小标宋简体"/>
          <w:sz w:val="40"/>
          <w:szCs w:val="40"/>
        </w:rPr>
        <w:t>DK17+176~DK22+308</w:t>
      </w:r>
      <w:r>
        <w:rPr>
          <w:rFonts w:hint="eastAsia" w:ascii="方正小标宋简体" w:hAnsi="方正小标宋简体" w:eastAsia="方正小标宋简体"/>
          <w:sz w:val="40"/>
          <w:szCs w:val="40"/>
        </w:rPr>
        <w:t>）</w:t>
      </w:r>
    </w:p>
    <w:p>
      <w:pPr>
        <w:spacing w:line="572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eastAsia="黑体"/>
          <w:spacing w:val="6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我厅对你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提出的关于</w:t>
      </w:r>
      <w:r>
        <w:rPr>
          <w:rFonts w:eastAsia="仿宋_GB2312"/>
          <w:color w:val="000000"/>
          <w:sz w:val="32"/>
          <w:szCs w:val="32"/>
        </w:rPr>
        <w:t>新建梅州至龙川铁路先期开工段（DK17+176~DK22+308）</w:t>
      </w:r>
      <w:r>
        <w:rPr>
          <w:rFonts w:eastAsia="仿宋_GB2312"/>
          <w:sz w:val="32"/>
          <w:szCs w:val="32"/>
        </w:rPr>
        <w:t>水土保持方案审批申请作出准予行政许可决定。为依法实施该项目的水土保持方案，依据《中华人民共和国水土保持法》《广东省水土保持条例》的相关规定，告知如下：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请按照批准的水土保持方案，做好水土保持初步设计和施工图设计，加强施工组织等管理工作，切实落实水土保持“三同时”制度。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请切实做好水土保持监测工作，加强水土流失动态监控。项目开工前开展水土保持监测工作，向我厅、省水土保持监测站以及项目所涉及的市、县水行政主管部门</w:t>
      </w:r>
      <w:r>
        <w:rPr>
          <w:rFonts w:eastAsia="仿宋_GB2312"/>
          <w:spacing w:val="-10"/>
          <w:kern w:val="32"/>
          <w:sz w:val="32"/>
          <w:szCs w:val="32"/>
        </w:rPr>
        <w:t>提交水土保持监测季度报告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请做好水土保持监理工作，确保水土保持工程质量。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请落实报告制度。在项目开工建设后十五个工作日内向我厅书面报告开工信息。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请在项目开工前一次性缴纳水土保持补偿费。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项目建设的地点、规模发生重大变化，或者水土保持方案实施过程中措施发生重大变更，应当补充或者修改水土保持方案，报我厅审批。在水土保持方案确定的弃渣场外新设弃渣场的，或者需要提高弃渣场堆渣量达到20%以上的，应当在弃渣前编制水土保持方案（弃渣场补充）报告书，报我厅审批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  <w:lang w:bidi="ar"/>
        </w:rPr>
        <w:t>项目在竣工验收和投产使用前，你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  <w:lang w:bidi="ar"/>
        </w:rPr>
        <w:t>应对水土保持设施进行自主验收。水土保持设施未经验收或者验收不合格的，生产建设项目不得投产使用。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九、请配合做好监督检查工作。我厅以及项目所涉及的市、县水行政主管部门将对水土保持方案的实施情况进行监督检查时，你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应配合做好相关工作。</w:t>
      </w:r>
    </w:p>
    <w:p>
      <w:r>
        <w:rPr>
          <w:rFonts w:eastAsia="仿宋_GB2312"/>
          <w:b/>
          <w:bCs/>
          <w:sz w:val="32"/>
          <w:szCs w:val="32"/>
        </w:rPr>
        <w:t>如违反上述告知事项，将承担相应的法律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政务中心()</cp:lastModifiedBy>
  <dcterms:modified xsi:type="dcterms:W3CDTF">2019-12-06T09:24:10Z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