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294" w:rsidRDefault="00CC4E96">
      <w:r>
        <w:rPr>
          <w:rFonts w:hint="eastAsia"/>
        </w:rPr>
        <w:t>201</w:t>
      </w:r>
      <w:r>
        <w:t>8</w:t>
      </w:r>
      <w:r>
        <w:rPr>
          <w:rFonts w:hint="eastAsia"/>
        </w:rPr>
        <w:t>年度广东省农业技术推广奖项目公示材料</w:t>
      </w:r>
    </w:p>
    <w:tbl>
      <w:tblPr>
        <w:tblStyle w:val="a8"/>
        <w:tblW w:w="8522" w:type="dxa"/>
        <w:tblLayout w:type="fixed"/>
        <w:tblLook w:val="04A0" w:firstRow="1" w:lastRow="0" w:firstColumn="1" w:lastColumn="0" w:noHBand="0" w:noVBand="1"/>
      </w:tblPr>
      <w:tblGrid>
        <w:gridCol w:w="1101"/>
        <w:gridCol w:w="7421"/>
      </w:tblGrid>
      <w:tr w:rsidR="00DB5294" w:rsidTr="00ED7105">
        <w:tc>
          <w:tcPr>
            <w:tcW w:w="1101" w:type="dxa"/>
          </w:tcPr>
          <w:p w:rsidR="00DB5294" w:rsidRDefault="00CC4E96">
            <w:pPr>
              <w:jc w:val="left"/>
            </w:pPr>
            <w:r>
              <w:rPr>
                <w:rFonts w:hint="eastAsia"/>
              </w:rPr>
              <w:t>项目名称：</w:t>
            </w:r>
          </w:p>
        </w:tc>
        <w:tc>
          <w:tcPr>
            <w:tcW w:w="7421" w:type="dxa"/>
            <w:vAlign w:val="center"/>
          </w:tcPr>
          <w:p w:rsidR="00DB5294" w:rsidRDefault="00CC4E96" w:rsidP="00ED7105">
            <w:pPr>
              <w:jc w:val="center"/>
            </w:pPr>
            <w:r>
              <w:rPr>
                <w:rFonts w:hint="eastAsia"/>
              </w:rPr>
              <w:t>广东省农业水权及用水管</w:t>
            </w:r>
            <w:proofErr w:type="gramStart"/>
            <w:r>
              <w:rPr>
                <w:rFonts w:hint="eastAsia"/>
              </w:rPr>
              <w:t>控关键</w:t>
            </w:r>
            <w:proofErr w:type="gramEnd"/>
            <w:r>
              <w:rPr>
                <w:rFonts w:hint="eastAsia"/>
              </w:rPr>
              <w:t>技术研究与应用</w:t>
            </w:r>
          </w:p>
        </w:tc>
      </w:tr>
      <w:tr w:rsidR="00DB5294" w:rsidTr="00ED7105">
        <w:tc>
          <w:tcPr>
            <w:tcW w:w="1101" w:type="dxa"/>
          </w:tcPr>
          <w:p w:rsidR="00DB5294" w:rsidRDefault="00CC4E96">
            <w:pPr>
              <w:jc w:val="left"/>
            </w:pPr>
            <w:r>
              <w:rPr>
                <w:rFonts w:hint="eastAsia"/>
              </w:rPr>
              <w:t>主要完成单位：</w:t>
            </w:r>
          </w:p>
        </w:tc>
        <w:tc>
          <w:tcPr>
            <w:tcW w:w="7421" w:type="dxa"/>
            <w:vAlign w:val="center"/>
          </w:tcPr>
          <w:p w:rsidR="00DB5294" w:rsidRDefault="00CC4E96" w:rsidP="00ED7105">
            <w:pPr>
              <w:jc w:val="center"/>
            </w:pPr>
            <w:r>
              <w:t>广东省水利水电科学研究院</w:t>
            </w:r>
          </w:p>
        </w:tc>
      </w:tr>
      <w:tr w:rsidR="00DB5294">
        <w:tc>
          <w:tcPr>
            <w:tcW w:w="1101" w:type="dxa"/>
          </w:tcPr>
          <w:p w:rsidR="00DB5294" w:rsidRDefault="00CC4E96">
            <w:pPr>
              <w:jc w:val="left"/>
            </w:pPr>
            <w:r>
              <w:rPr>
                <w:rFonts w:hint="eastAsia"/>
              </w:rPr>
              <w:t>主要完成人：</w:t>
            </w:r>
          </w:p>
        </w:tc>
        <w:tc>
          <w:tcPr>
            <w:tcW w:w="7421" w:type="dxa"/>
          </w:tcPr>
          <w:p w:rsidR="00DB5294" w:rsidRDefault="00CC4E96">
            <w:pPr>
              <w:jc w:val="left"/>
            </w:pPr>
            <w:r>
              <w:rPr>
                <w:rFonts w:hint="eastAsia"/>
              </w:rPr>
              <w:t>黄本胜、洪昌红、黄锋华、</w:t>
            </w:r>
            <w:proofErr w:type="gramStart"/>
            <w:r>
              <w:rPr>
                <w:rFonts w:hint="eastAsia"/>
              </w:rPr>
              <w:t>郭</w:t>
            </w:r>
            <w:proofErr w:type="gramEnd"/>
            <w:r>
              <w:rPr>
                <w:rFonts w:hint="eastAsia"/>
              </w:rPr>
              <w:t xml:space="preserve">  </w:t>
            </w:r>
            <w:proofErr w:type="gramStart"/>
            <w:r>
              <w:rPr>
                <w:rFonts w:hint="eastAsia"/>
              </w:rPr>
              <w:t>磊</w:t>
            </w:r>
            <w:proofErr w:type="gramEnd"/>
            <w:r>
              <w:rPr>
                <w:rFonts w:hint="eastAsia"/>
              </w:rPr>
              <w:t>、王海丽、赵璧奎、刘树锋、芦妍婷、雷洪成、</w:t>
            </w:r>
            <w:proofErr w:type="gramStart"/>
            <w:r>
              <w:rPr>
                <w:rFonts w:hint="eastAsia"/>
              </w:rPr>
              <w:t>邱</w:t>
            </w:r>
            <w:proofErr w:type="gramEnd"/>
            <w:r>
              <w:rPr>
                <w:rFonts w:hint="eastAsia"/>
              </w:rPr>
              <w:t xml:space="preserve">  </w:t>
            </w:r>
            <w:r>
              <w:rPr>
                <w:rFonts w:hint="eastAsia"/>
              </w:rPr>
              <w:t>静、邱颂曦、王丽雯、胡</w:t>
            </w:r>
            <w:r>
              <w:rPr>
                <w:rFonts w:hint="eastAsia"/>
              </w:rPr>
              <w:t xml:space="preserve">  </w:t>
            </w:r>
            <w:r>
              <w:rPr>
                <w:rFonts w:hint="eastAsia"/>
              </w:rPr>
              <w:t>培、田</w:t>
            </w:r>
            <w:r>
              <w:rPr>
                <w:rFonts w:hint="eastAsia"/>
              </w:rPr>
              <w:t xml:space="preserve">  </w:t>
            </w:r>
            <w:r>
              <w:rPr>
                <w:rFonts w:hint="eastAsia"/>
              </w:rPr>
              <w:t>甜、</w:t>
            </w:r>
            <w:proofErr w:type="gramStart"/>
            <w:r>
              <w:rPr>
                <w:rFonts w:hint="eastAsia"/>
              </w:rPr>
              <w:t>詹</w:t>
            </w:r>
            <w:proofErr w:type="gramEnd"/>
            <w:r>
              <w:rPr>
                <w:rFonts w:hint="eastAsia"/>
              </w:rPr>
              <w:t>小米</w:t>
            </w:r>
          </w:p>
        </w:tc>
      </w:tr>
      <w:tr w:rsidR="00DB5294">
        <w:tc>
          <w:tcPr>
            <w:tcW w:w="1101" w:type="dxa"/>
          </w:tcPr>
          <w:p w:rsidR="00DB5294" w:rsidRDefault="00CC4E96">
            <w:pPr>
              <w:jc w:val="left"/>
            </w:pPr>
            <w:r>
              <w:rPr>
                <w:rFonts w:hint="eastAsia"/>
              </w:rPr>
              <w:t>项目实施成果简介：</w:t>
            </w:r>
          </w:p>
        </w:tc>
        <w:tc>
          <w:tcPr>
            <w:tcW w:w="7421" w:type="dxa"/>
          </w:tcPr>
          <w:p w:rsidR="00DB5294" w:rsidRDefault="00CC4E96">
            <w:pPr>
              <w:ind w:firstLineChars="200" w:firstLine="420"/>
              <w:jc w:val="left"/>
            </w:pPr>
            <w:r>
              <w:rPr>
                <w:rFonts w:hint="eastAsia"/>
              </w:rPr>
              <w:t>广东省农业取用水总量大、效率低、计量难、节水潜力大但内生动力弱，同时，农业水权确权与市场交易基本处于空白状态。在实现最严格水资源管理的背景下，如何高效管控我省农业用水，发挥市场在我省农业节水中重要作用，事关我省水资源可持续利用和经济社会可持续发展，研究意义十分重大。目前，我国的水权制度建设尚处于探索阶段，国内外基于水权交易制度的丰水地区农业用水管</w:t>
            </w:r>
            <w:proofErr w:type="gramStart"/>
            <w:r>
              <w:rPr>
                <w:rFonts w:hint="eastAsia"/>
              </w:rPr>
              <w:t>控研究</w:t>
            </w:r>
            <w:proofErr w:type="gramEnd"/>
            <w:r>
              <w:rPr>
                <w:rFonts w:hint="eastAsia"/>
              </w:rPr>
              <w:t>较少，丰水地区的农业水权确权、取水计量、</w:t>
            </w:r>
            <w:proofErr w:type="gramStart"/>
            <w:r>
              <w:rPr>
                <w:rFonts w:hint="eastAsia"/>
              </w:rPr>
              <w:t>水权确价的</w:t>
            </w:r>
            <w:proofErr w:type="gramEnd"/>
            <w:r>
              <w:rPr>
                <w:rFonts w:hint="eastAsia"/>
              </w:rPr>
              <w:t>基础研究更是薄弱，系统性的水权交易制度体系缺乏，亟需开展相关研究工作。因此，开展广东省水权交易制度研究，并基于水权交易制度构建符合我省省情和水情的现代化农业用水管控技术，对于保障合法的农业用水权益、推动农业节水、提高农业用水效率、实现农业用水精细化管理、均具有十分重要的意义。</w:t>
            </w:r>
          </w:p>
          <w:p w:rsidR="00DB5294" w:rsidRDefault="00CC4E96">
            <w:pPr>
              <w:ind w:firstLineChars="200" w:firstLine="420"/>
              <w:jc w:val="left"/>
            </w:pPr>
            <w:r>
              <w:rPr>
                <w:rFonts w:hint="eastAsia"/>
              </w:rPr>
              <w:t>紧紧围绕习近平总书记提出的“节水优先、空间均衡、系统治理、两手发力”治水方针，落实“水利工程补短板、水利行业强监管”的总基调，结合当前我国农业用水管理改革要求和广东的实际问题，采用先进的技术手段，运用多种专业知识，开展了广东省农业水权及用水管</w:t>
            </w:r>
            <w:proofErr w:type="gramStart"/>
            <w:r>
              <w:rPr>
                <w:rFonts w:hint="eastAsia"/>
              </w:rPr>
              <w:t>控关键</w:t>
            </w:r>
            <w:proofErr w:type="gramEnd"/>
            <w:r>
              <w:rPr>
                <w:rFonts w:hint="eastAsia"/>
              </w:rPr>
              <w:t>技术研究与应用攻关，构建了符合广东特色的水权制度体系，形成了广东省乃至南方丰水地区水权交易制度、农业水权确权、水权交易确价、灌区取水计量监控和生态型水权交易模式的成套技术体系。出版</w:t>
            </w:r>
            <w:r>
              <w:t>专著</w:t>
            </w:r>
            <w:r>
              <w:rPr>
                <w:rFonts w:hint="eastAsia"/>
              </w:rPr>
              <w:t>2</w:t>
            </w:r>
            <w:r>
              <w:rPr>
                <w:rFonts w:hint="eastAsia"/>
              </w:rPr>
              <w:t>部</w:t>
            </w:r>
            <w:r>
              <w:t>，</w:t>
            </w:r>
            <w:r>
              <w:rPr>
                <w:rFonts w:hint="eastAsia"/>
              </w:rPr>
              <w:t>发表论文</w:t>
            </w:r>
            <w:r>
              <w:t>32</w:t>
            </w:r>
            <w:r>
              <w:rPr>
                <w:rFonts w:hint="eastAsia"/>
              </w:rPr>
              <w:t>篇，授权发明专利</w:t>
            </w:r>
            <w:r>
              <w:rPr>
                <w:rFonts w:hint="eastAsia"/>
              </w:rPr>
              <w:t>1</w:t>
            </w:r>
            <w:r>
              <w:rPr>
                <w:rFonts w:hint="eastAsia"/>
              </w:rPr>
              <w:t>项，实用新型专利</w:t>
            </w:r>
            <w:r>
              <w:rPr>
                <w:rFonts w:hint="eastAsia"/>
              </w:rPr>
              <w:t>4</w:t>
            </w:r>
            <w:r>
              <w:rPr>
                <w:rFonts w:hint="eastAsia"/>
              </w:rPr>
              <w:t>项，受理发明专利</w:t>
            </w:r>
            <w:r>
              <w:rPr>
                <w:rFonts w:hint="eastAsia"/>
              </w:rPr>
              <w:t>2</w:t>
            </w:r>
            <w:r>
              <w:rPr>
                <w:rFonts w:hint="eastAsia"/>
              </w:rPr>
              <w:t>项，获得广东省优秀工程咨询成果一等奖</w:t>
            </w:r>
            <w:r>
              <w:rPr>
                <w:rFonts w:hint="eastAsia"/>
              </w:rPr>
              <w:t>1</w:t>
            </w:r>
            <w:r>
              <w:rPr>
                <w:rFonts w:hint="eastAsia"/>
              </w:rPr>
              <w:t>项。</w:t>
            </w:r>
          </w:p>
          <w:p w:rsidR="00DB5294" w:rsidRDefault="00CC4E96">
            <w:pPr>
              <w:ind w:firstLineChars="200" w:firstLine="420"/>
              <w:jc w:val="left"/>
            </w:pPr>
            <w:r>
              <w:rPr>
                <w:rFonts w:hint="eastAsia"/>
              </w:rPr>
              <w:t>成果主要创新点主要表现在：（</w:t>
            </w:r>
            <w:r>
              <w:rPr>
                <w:rFonts w:hint="eastAsia"/>
              </w:rPr>
              <w:t>1</w:t>
            </w:r>
            <w:r>
              <w:rPr>
                <w:rFonts w:hint="eastAsia"/>
              </w:rPr>
              <w:t>）构建了“一三三四”水权交易制度，包括：一个可交易水权的定义与内涵，水权明晰、计量准确、价值可估三个基本条件，政府储备水权竞争性配置、区域之间交易、用水户之间交易三种类型，以及配套的法规、管理、技术论证和交易市场四大体系。填补了我国系统性建设水权制度的空白。（</w:t>
            </w:r>
            <w:r>
              <w:rPr>
                <w:rFonts w:hint="eastAsia"/>
              </w:rPr>
              <w:t>2</w:t>
            </w:r>
            <w:r>
              <w:rPr>
                <w:rFonts w:hint="eastAsia"/>
              </w:rPr>
              <w:t>）建立了适应广东省多种断面结构型式渠系水位流量关系数据库；研发了灌区渠系水量计量及监测控制一体化技术、不规则管渠的计量整流装置，解决了丰水地区复杂的自然地理与工程条件下的灌区计量监控技术难题。（</w:t>
            </w:r>
            <w:r>
              <w:rPr>
                <w:rFonts w:hint="eastAsia"/>
              </w:rPr>
              <w:t>3</w:t>
            </w:r>
            <w:r>
              <w:rPr>
                <w:rFonts w:hint="eastAsia"/>
              </w:rPr>
              <w:t>）提出了与农业取水许可相结合的南方丰水地区农业水权确权方法，推动了农业水权取水许可制度有效实施，为广东省农业取水监管由粗放模式逐渐转变为精细模式提供了支撑。（</w:t>
            </w:r>
            <w:r>
              <w:rPr>
                <w:rFonts w:hint="eastAsia"/>
              </w:rPr>
              <w:t>4</w:t>
            </w:r>
            <w:r>
              <w:rPr>
                <w:rFonts w:hint="eastAsia"/>
              </w:rPr>
              <w:t>）提出了适用于南方丰水地区、综合考虑资源水价、工程水价、生态水价的全成本水权交易价格确定方法，建立了两种定价模型，发展了可推广应用的生态型农业水权转让模式，为农业用水科学管</w:t>
            </w:r>
            <w:proofErr w:type="gramStart"/>
            <w:r>
              <w:rPr>
                <w:rFonts w:hint="eastAsia"/>
              </w:rPr>
              <w:t>控提供</w:t>
            </w:r>
            <w:proofErr w:type="gramEnd"/>
            <w:r>
              <w:rPr>
                <w:rFonts w:hint="eastAsia"/>
              </w:rPr>
              <w:t>了技术支撑。</w:t>
            </w:r>
          </w:p>
          <w:p w:rsidR="00DB5294" w:rsidRDefault="00CC4E96">
            <w:pPr>
              <w:ind w:firstLineChars="200" w:firstLine="420"/>
              <w:jc w:val="left"/>
            </w:pPr>
            <w:r>
              <w:t>2019</w:t>
            </w:r>
            <w:r>
              <w:rPr>
                <w:rFonts w:hint="eastAsia"/>
              </w:rPr>
              <w:t>年</w:t>
            </w:r>
            <w:r>
              <w:t>3</w:t>
            </w:r>
            <w:r>
              <w:rPr>
                <w:rFonts w:hint="eastAsia"/>
              </w:rPr>
              <w:t>月</w:t>
            </w:r>
            <w:r>
              <w:t>20</w:t>
            </w:r>
            <w:r>
              <w:rPr>
                <w:rFonts w:hint="eastAsia"/>
              </w:rPr>
              <w:t>日，广东省水利学会在广州市主持召开了“广东省农业水权及用水管控关键技术研究与应用”项目成果鉴定会。由中国工程院</w:t>
            </w:r>
            <w:proofErr w:type="gramStart"/>
            <w:r>
              <w:rPr>
                <w:rFonts w:hint="eastAsia"/>
              </w:rPr>
              <w:t>茆</w:t>
            </w:r>
            <w:proofErr w:type="gramEnd"/>
            <w:r>
              <w:rPr>
                <w:rFonts w:hint="eastAsia"/>
              </w:rPr>
              <w:t>智院士与胡春宏院士任正、副组长的鉴定委员会认为成果总体上达到国际先进水平，在丰水地区水权交易制度建设、丰水地区复杂的自然地理与工程条件下的灌区计量监控技术方面达到国际领先。</w:t>
            </w:r>
          </w:p>
          <w:p w:rsidR="00DB5294" w:rsidRDefault="00CC4E96">
            <w:pPr>
              <w:ind w:firstLineChars="200" w:firstLine="420"/>
              <w:jc w:val="left"/>
            </w:pPr>
            <w:r>
              <w:rPr>
                <w:rFonts w:hint="eastAsia"/>
              </w:rPr>
              <w:lastRenderedPageBreak/>
              <w:t>研究成果已应用于研究成果应用于惠州市与广州市水权交易、珠江三角洲水资源配置工程、河源市与广州市水权交易等国家级改革试点和重点建设等十余个项目，产生了巨大的社会效益、经济效益和生态环境效益，并具有广泛的推广应用前景。</w:t>
            </w:r>
          </w:p>
        </w:tc>
      </w:tr>
      <w:tr w:rsidR="00DB5294" w:rsidTr="00ED7105">
        <w:tc>
          <w:tcPr>
            <w:tcW w:w="1101" w:type="dxa"/>
          </w:tcPr>
          <w:p w:rsidR="00DB5294" w:rsidRDefault="00CC4E96">
            <w:pPr>
              <w:jc w:val="left"/>
            </w:pPr>
            <w:r>
              <w:rPr>
                <w:rFonts w:hint="eastAsia"/>
              </w:rPr>
              <w:lastRenderedPageBreak/>
              <w:t>联系人及电话：</w:t>
            </w:r>
          </w:p>
        </w:tc>
        <w:tc>
          <w:tcPr>
            <w:tcW w:w="7421" w:type="dxa"/>
            <w:vAlign w:val="center"/>
          </w:tcPr>
          <w:p w:rsidR="00DB5294" w:rsidRDefault="00CC4E96" w:rsidP="00ED7105">
            <w:pPr>
              <w:jc w:val="center"/>
            </w:pPr>
            <w:r>
              <w:rPr>
                <w:rFonts w:hint="eastAsia"/>
              </w:rPr>
              <w:t>洪</w:t>
            </w:r>
            <w:r>
              <w:t>昌红</w:t>
            </w:r>
            <w:r>
              <w:rPr>
                <w:rFonts w:hint="eastAsia"/>
              </w:rPr>
              <w:t>，电话</w:t>
            </w:r>
            <w:r>
              <w:rPr>
                <w:rFonts w:hint="eastAsia"/>
              </w:rPr>
              <w:t>020-38036</w:t>
            </w:r>
            <w:r>
              <w:t>653</w:t>
            </w:r>
          </w:p>
        </w:tc>
      </w:tr>
    </w:tbl>
    <w:p w:rsidR="00DB5294" w:rsidRDefault="00DB5294">
      <w:pPr>
        <w:jc w:val="left"/>
      </w:pPr>
    </w:p>
    <w:p w:rsidR="00DB5294" w:rsidRDefault="00DB5294">
      <w:pPr>
        <w:jc w:val="left"/>
      </w:pPr>
      <w:bookmarkStart w:id="0" w:name="_GoBack"/>
      <w:bookmarkEnd w:id="0"/>
    </w:p>
    <w:sectPr w:rsidR="00DB52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27F" w:rsidRDefault="008E327F" w:rsidP="00556576">
      <w:r>
        <w:separator/>
      </w:r>
    </w:p>
  </w:endnote>
  <w:endnote w:type="continuationSeparator" w:id="0">
    <w:p w:rsidR="008E327F" w:rsidRDefault="008E327F" w:rsidP="0055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27F" w:rsidRDefault="008E327F" w:rsidP="00556576">
      <w:r>
        <w:separator/>
      </w:r>
    </w:p>
  </w:footnote>
  <w:footnote w:type="continuationSeparator" w:id="0">
    <w:p w:rsidR="008E327F" w:rsidRDefault="008E327F" w:rsidP="00556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62D4"/>
    <w:rsid w:val="00082A9B"/>
    <w:rsid w:val="001E36CE"/>
    <w:rsid w:val="002F6F7E"/>
    <w:rsid w:val="002F7AFC"/>
    <w:rsid w:val="00543B29"/>
    <w:rsid w:val="00556576"/>
    <w:rsid w:val="008E327F"/>
    <w:rsid w:val="009D62D4"/>
    <w:rsid w:val="00B8014F"/>
    <w:rsid w:val="00BE7962"/>
    <w:rsid w:val="00CC4E96"/>
    <w:rsid w:val="00DB5294"/>
    <w:rsid w:val="00ED7105"/>
    <w:rsid w:val="00FB41BE"/>
    <w:rsid w:val="00FD015E"/>
    <w:rsid w:val="00FF5B17"/>
    <w:rsid w:val="5F120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0" w:unhideWhenUsed="0" w:qFormat="1"/>
    <w:lsdException w:name="Title" w:semiHidden="0" w:uiPriority="0" w:unhideWhenUsed="0" w:qFormat="1"/>
    <w:lsdException w:name="Default Paragraph Fon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Normal Table"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keepLines/>
      <w:tabs>
        <w:tab w:val="left" w:pos="3612"/>
      </w:tabs>
      <w:spacing w:before="100" w:beforeAutospacing="1" w:after="100" w:afterAutospacing="1" w:line="360" w:lineRule="auto"/>
      <w:outlineLvl w:val="0"/>
    </w:pPr>
    <w:rPr>
      <w:rFonts w:ascii="宋体" w:hAnsi="宋体"/>
      <w:b/>
      <w:kern w:val="44"/>
      <w:sz w:val="32"/>
    </w:rPr>
  </w:style>
  <w:style w:type="paragraph" w:styleId="2">
    <w:name w:val="heading 2"/>
    <w:basedOn w:val="a"/>
    <w:next w:val="a"/>
    <w:link w:val="2Char"/>
    <w:qFormat/>
    <w:pPr>
      <w:keepNext/>
      <w:keepLines/>
      <w:tabs>
        <w:tab w:val="left" w:pos="567"/>
      </w:tabs>
      <w:adjustRightInd w:val="0"/>
      <w:spacing w:line="360" w:lineRule="auto"/>
      <w:textAlignment w:val="baseline"/>
      <w:outlineLvl w:val="1"/>
    </w:pPr>
    <w:rPr>
      <w:rFonts w:eastAsia="黑体"/>
      <w:sz w:val="28"/>
    </w:rPr>
  </w:style>
  <w:style w:type="paragraph" w:styleId="3">
    <w:name w:val="heading 3"/>
    <w:basedOn w:val="a"/>
    <w:next w:val="a"/>
    <w:link w:val="3Char"/>
    <w:qFormat/>
    <w:pPr>
      <w:keepNext/>
      <w:keepLines/>
      <w:tabs>
        <w:tab w:val="left" w:pos="340"/>
      </w:tabs>
      <w:spacing w:before="260" w:after="260" w:line="415" w:lineRule="auto"/>
      <w:outlineLvl w:val="2"/>
    </w:pPr>
    <w:rPr>
      <w:b/>
      <w:sz w:val="32"/>
    </w:rPr>
  </w:style>
  <w:style w:type="paragraph" w:styleId="4">
    <w:name w:val="heading 4"/>
    <w:basedOn w:val="a"/>
    <w:next w:val="a"/>
    <w:link w:val="4Char"/>
    <w:qFormat/>
    <w:pPr>
      <w:keepNext/>
      <w:keepLines/>
      <w:autoSpaceDE w:val="0"/>
      <w:autoSpaceDN w:val="0"/>
      <w:adjustRightInd w:val="0"/>
      <w:snapToGrid w:val="0"/>
      <w:spacing w:line="360" w:lineRule="auto"/>
      <w:jc w:val="left"/>
      <w:outlineLvl w:val="3"/>
    </w:pPr>
    <w:rPr>
      <w:rFonts w:ascii="Arial" w:hAnsi="Arial"/>
      <w:sz w:val="28"/>
    </w:rPr>
  </w:style>
  <w:style w:type="paragraph" w:styleId="5">
    <w:name w:val="heading 5"/>
    <w:basedOn w:val="a"/>
    <w:next w:val="a"/>
    <w:link w:val="5Char"/>
    <w:qFormat/>
    <w:pPr>
      <w:keepNext/>
      <w:keepLines/>
      <w:tabs>
        <w:tab w:val="left" w:pos="1008"/>
      </w:tabs>
      <w:autoSpaceDE w:val="0"/>
      <w:autoSpaceDN w:val="0"/>
      <w:spacing w:before="280" w:after="290" w:line="374" w:lineRule="auto"/>
      <w:ind w:left="1008" w:firstLineChars="200" w:hanging="1008"/>
      <w:outlineLvl w:val="4"/>
    </w:pPr>
    <w:rPr>
      <w:rFonts w:ascii="仿宋_GB2312" w:eastAsia="仿宋_GB2312"/>
      <w:b/>
      <w:sz w:val="28"/>
    </w:rPr>
  </w:style>
  <w:style w:type="paragraph" w:styleId="6">
    <w:name w:val="heading 6"/>
    <w:basedOn w:val="a"/>
    <w:next w:val="a"/>
    <w:link w:val="6Char"/>
    <w:qFormat/>
    <w:pPr>
      <w:keepNext/>
      <w:keepLines/>
      <w:tabs>
        <w:tab w:val="left" w:pos="1152"/>
      </w:tabs>
      <w:autoSpaceDE w:val="0"/>
      <w:autoSpaceDN w:val="0"/>
      <w:spacing w:before="240" w:after="64" w:line="319" w:lineRule="auto"/>
      <w:ind w:left="1152" w:firstLineChars="200" w:hanging="1152"/>
      <w:outlineLvl w:val="5"/>
    </w:pPr>
    <w:rPr>
      <w:rFonts w:ascii="Arial" w:eastAsia="黑体" w:hAnsi="Arial"/>
      <w:b/>
      <w:sz w:val="24"/>
    </w:rPr>
  </w:style>
  <w:style w:type="paragraph" w:styleId="7">
    <w:name w:val="heading 7"/>
    <w:basedOn w:val="a"/>
    <w:next w:val="a"/>
    <w:link w:val="7Char"/>
    <w:qFormat/>
    <w:pPr>
      <w:keepNext/>
      <w:keepLines/>
      <w:tabs>
        <w:tab w:val="left" w:pos="1296"/>
      </w:tabs>
      <w:autoSpaceDE w:val="0"/>
      <w:autoSpaceDN w:val="0"/>
      <w:spacing w:before="240" w:after="64" w:line="319" w:lineRule="auto"/>
      <w:ind w:left="1296" w:firstLineChars="200" w:hanging="1296"/>
      <w:outlineLvl w:val="6"/>
    </w:pPr>
    <w:rPr>
      <w:rFonts w:ascii="仿宋_GB2312" w:eastAsia="仿宋_GB2312"/>
      <w:b/>
      <w:sz w:val="24"/>
    </w:rPr>
  </w:style>
  <w:style w:type="paragraph" w:styleId="8">
    <w:name w:val="heading 8"/>
    <w:basedOn w:val="a"/>
    <w:next w:val="a"/>
    <w:link w:val="8Char"/>
    <w:qFormat/>
    <w:pPr>
      <w:keepNext/>
      <w:keepLines/>
      <w:tabs>
        <w:tab w:val="left" w:pos="1440"/>
      </w:tabs>
      <w:autoSpaceDE w:val="0"/>
      <w:autoSpaceDN w:val="0"/>
      <w:spacing w:before="240" w:after="64" w:line="320" w:lineRule="atLeast"/>
      <w:textAlignment w:val="baseline"/>
      <w:outlineLvl w:val="7"/>
    </w:pPr>
    <w:rPr>
      <w:rFonts w:ascii="Arial" w:eastAsia="黑体" w:hAnsi="Arial"/>
      <w:kern w:val="24"/>
      <w:sz w:val="24"/>
    </w:rPr>
  </w:style>
  <w:style w:type="paragraph" w:styleId="9">
    <w:name w:val="heading 9"/>
    <w:basedOn w:val="a"/>
    <w:next w:val="a"/>
    <w:link w:val="9Char"/>
    <w:qFormat/>
    <w:pPr>
      <w:keepNext/>
      <w:keepLines/>
      <w:tabs>
        <w:tab w:val="left" w:pos="1584"/>
      </w:tabs>
      <w:autoSpaceDE w:val="0"/>
      <w:autoSpaceDN w:val="0"/>
      <w:spacing w:before="240" w:after="64" w:line="320" w:lineRule="atLeast"/>
      <w:textAlignment w:val="baseline"/>
      <w:outlineLvl w:val="8"/>
    </w:pPr>
    <w:rPr>
      <w:rFonts w:ascii="Arial" w:eastAsia="黑体"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autoSpaceDE w:val="0"/>
      <w:autoSpaceDN w:val="0"/>
      <w:spacing w:before="152" w:after="160"/>
    </w:pPr>
    <w:rPr>
      <w:rFonts w:ascii="Arial" w:eastAsia="黑体" w:hAnsi="Arial"/>
      <w:sz w:val="20"/>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Subtitle"/>
    <w:basedOn w:val="a"/>
    <w:link w:val="Char1"/>
    <w:qFormat/>
    <w:pPr>
      <w:jc w:val="center"/>
      <w:outlineLvl w:val="1"/>
    </w:pPr>
    <w:rPr>
      <w:rFonts w:ascii="Arial" w:eastAsia="华文楷体" w:hAnsi="Arial" w:cs="Arial"/>
      <w:b/>
      <w:bCs/>
      <w:kern w:val="28"/>
      <w:sz w:val="40"/>
      <w:szCs w:val="40"/>
    </w:rPr>
  </w:style>
  <w:style w:type="paragraph" w:styleId="a7">
    <w:name w:val="Title"/>
    <w:basedOn w:val="a"/>
    <w:next w:val="a"/>
    <w:link w:val="Char2"/>
    <w:qFormat/>
    <w:pPr>
      <w:spacing w:before="240" w:after="60"/>
      <w:jc w:val="center"/>
      <w:outlineLvl w:val="0"/>
    </w:pPr>
    <w:rPr>
      <w:rFonts w:ascii="Cambria" w:hAnsi="Cambria"/>
      <w:b/>
      <w:bCs/>
      <w:sz w:val="32"/>
      <w:szCs w:val="32"/>
    </w:rPr>
  </w:style>
  <w:style w:type="table" w:styleId="a8">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Strong"/>
    <w:qFormat/>
    <w:rPr>
      <w:b/>
    </w:rPr>
  </w:style>
  <w:style w:type="character" w:customStyle="1" w:styleId="1Char">
    <w:name w:val="标题 1 Char"/>
    <w:basedOn w:val="a0"/>
    <w:link w:val="1"/>
    <w:qFormat/>
    <w:rPr>
      <w:rFonts w:ascii="宋体" w:hAnsi="宋体"/>
      <w:b/>
      <w:kern w:val="44"/>
      <w:sz w:val="32"/>
    </w:rPr>
  </w:style>
  <w:style w:type="character" w:customStyle="1" w:styleId="2Char">
    <w:name w:val="标题 2 Char"/>
    <w:basedOn w:val="a0"/>
    <w:link w:val="2"/>
    <w:qFormat/>
    <w:rPr>
      <w:rFonts w:eastAsia="黑体"/>
      <w:kern w:val="2"/>
      <w:sz w:val="28"/>
      <w:lang w:val="en-US" w:eastAsia="zh-CN"/>
    </w:rPr>
  </w:style>
  <w:style w:type="character" w:customStyle="1" w:styleId="3Char">
    <w:name w:val="标题 3 Char"/>
    <w:basedOn w:val="a0"/>
    <w:link w:val="3"/>
    <w:qFormat/>
    <w:rPr>
      <w:b/>
      <w:kern w:val="2"/>
      <w:sz w:val="32"/>
    </w:rPr>
  </w:style>
  <w:style w:type="character" w:customStyle="1" w:styleId="3Char1">
    <w:name w:val="标题 3 Char1"/>
    <w:qFormat/>
    <w:rPr>
      <w:b/>
      <w:kern w:val="2"/>
      <w:sz w:val="32"/>
    </w:rPr>
  </w:style>
  <w:style w:type="character" w:customStyle="1" w:styleId="4Char">
    <w:name w:val="标题 4 Char"/>
    <w:basedOn w:val="a0"/>
    <w:link w:val="4"/>
    <w:qFormat/>
    <w:rPr>
      <w:rFonts w:ascii="Arial" w:hAnsi="Arial"/>
      <w:kern w:val="2"/>
      <w:sz w:val="28"/>
    </w:rPr>
  </w:style>
  <w:style w:type="character" w:customStyle="1" w:styleId="5Char">
    <w:name w:val="标题 5 Char"/>
    <w:basedOn w:val="a0"/>
    <w:link w:val="5"/>
    <w:qFormat/>
    <w:rPr>
      <w:rFonts w:ascii="仿宋_GB2312" w:eastAsia="仿宋_GB2312"/>
      <w:b/>
      <w:kern w:val="2"/>
      <w:sz w:val="28"/>
    </w:rPr>
  </w:style>
  <w:style w:type="character" w:customStyle="1" w:styleId="6Char">
    <w:name w:val="标题 6 Char"/>
    <w:basedOn w:val="a0"/>
    <w:link w:val="6"/>
    <w:qFormat/>
    <w:rPr>
      <w:rFonts w:ascii="Arial" w:eastAsia="黑体" w:hAnsi="Arial"/>
      <w:b/>
      <w:kern w:val="2"/>
      <w:sz w:val="24"/>
    </w:rPr>
  </w:style>
  <w:style w:type="character" w:customStyle="1" w:styleId="7Char">
    <w:name w:val="标题 7 Char"/>
    <w:basedOn w:val="a0"/>
    <w:link w:val="7"/>
    <w:qFormat/>
    <w:rPr>
      <w:rFonts w:ascii="仿宋_GB2312" w:eastAsia="仿宋_GB2312"/>
      <w:b/>
      <w:kern w:val="2"/>
      <w:sz w:val="24"/>
    </w:rPr>
  </w:style>
  <w:style w:type="character" w:customStyle="1" w:styleId="8Char">
    <w:name w:val="标题 8 Char"/>
    <w:basedOn w:val="a0"/>
    <w:link w:val="8"/>
    <w:qFormat/>
    <w:rPr>
      <w:rFonts w:ascii="Arial" w:eastAsia="黑体" w:hAnsi="Arial"/>
      <w:kern w:val="24"/>
      <w:sz w:val="24"/>
    </w:rPr>
  </w:style>
  <w:style w:type="character" w:customStyle="1" w:styleId="9Char">
    <w:name w:val="标题 9 Char"/>
    <w:basedOn w:val="a0"/>
    <w:link w:val="9"/>
    <w:qFormat/>
    <w:rPr>
      <w:rFonts w:ascii="Arial" w:eastAsia="黑体" w:hAnsi="Arial"/>
      <w:kern w:val="24"/>
      <w:sz w:val="24"/>
    </w:rPr>
  </w:style>
  <w:style w:type="character" w:customStyle="1" w:styleId="Char2">
    <w:name w:val="标题 Char"/>
    <w:link w:val="a7"/>
    <w:qFormat/>
    <w:rPr>
      <w:rFonts w:ascii="Cambria" w:hAnsi="Cambria"/>
      <w:b/>
      <w:bCs/>
      <w:kern w:val="2"/>
      <w:sz w:val="32"/>
      <w:szCs w:val="32"/>
    </w:rPr>
  </w:style>
  <w:style w:type="character" w:customStyle="1" w:styleId="Char1">
    <w:name w:val="副标题 Char"/>
    <w:link w:val="a6"/>
    <w:qFormat/>
    <w:rPr>
      <w:rFonts w:ascii="Arial" w:eastAsia="华文楷体" w:hAnsi="Arial" w:cs="Arial"/>
      <w:b/>
      <w:bCs/>
      <w:kern w:val="28"/>
      <w:sz w:val="40"/>
      <w:szCs w:val="40"/>
    </w:rPr>
  </w:style>
  <w:style w:type="paragraph" w:styleId="aa">
    <w:name w:val="List Paragraph"/>
    <w:basedOn w:val="a"/>
    <w:qFormat/>
    <w:pPr>
      <w:ind w:firstLineChars="200" w:firstLine="420"/>
    </w:pPr>
    <w:rPr>
      <w:snapToGrid w:val="0"/>
      <w:szCs w:val="21"/>
    </w:rPr>
  </w:style>
  <w:style w:type="paragraph" w:customStyle="1" w:styleId="ab">
    <w:name w:val="表格(五)"/>
    <w:basedOn w:val="a"/>
    <w:qFormat/>
    <w:pPr>
      <w:jc w:val="center"/>
    </w:pPr>
    <w:rPr>
      <w:rFonts w:ascii="宋体" w:cs="宋体"/>
    </w:rPr>
  </w:style>
  <w:style w:type="character" w:customStyle="1" w:styleId="Char0">
    <w:name w:val="页眉 Char"/>
    <w:basedOn w:val="a0"/>
    <w:link w:val="a5"/>
    <w:uiPriority w:val="99"/>
    <w:qFormat/>
    <w:rPr>
      <w:kern w:val="2"/>
      <w:sz w:val="18"/>
      <w:szCs w:val="18"/>
    </w:rPr>
  </w:style>
  <w:style w:type="character" w:customStyle="1" w:styleId="Char">
    <w:name w:val="页脚 Char"/>
    <w:basedOn w:val="a0"/>
    <w:link w:val="a4"/>
    <w:uiPriority w:val="99"/>
    <w:qFormat/>
    <w:rPr>
      <w:kern w:val="2"/>
      <w:sz w:val="18"/>
      <w:szCs w:val="18"/>
    </w:rPr>
  </w:style>
  <w:style w:type="paragraph" w:styleId="ac">
    <w:name w:val="Balloon Text"/>
    <w:basedOn w:val="a"/>
    <w:link w:val="Char3"/>
    <w:uiPriority w:val="99"/>
    <w:semiHidden/>
    <w:unhideWhenUsed/>
    <w:rsid w:val="00556576"/>
    <w:rPr>
      <w:sz w:val="18"/>
      <w:szCs w:val="18"/>
    </w:rPr>
  </w:style>
  <w:style w:type="character" w:customStyle="1" w:styleId="Char3">
    <w:name w:val="批注框文本 Char"/>
    <w:basedOn w:val="a0"/>
    <w:link w:val="ac"/>
    <w:uiPriority w:val="99"/>
    <w:semiHidden/>
    <w:rsid w:val="0055657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221</Words>
  <Characters>1261</Characters>
  <Application>Microsoft Office Word</Application>
  <DocSecurity>0</DocSecurity>
  <Lines>10</Lines>
  <Paragraphs>2</Paragraphs>
  <ScaleCrop>false</ScaleCrop>
  <Company>China</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王飞</cp:lastModifiedBy>
  <cp:revision>8</cp:revision>
  <dcterms:created xsi:type="dcterms:W3CDTF">2018-03-27T00:34:00Z</dcterms:created>
  <dcterms:modified xsi:type="dcterms:W3CDTF">2019-04-01T06:06:00Z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